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4C804" w14:textId="0F95BB91" w:rsidR="00DC47E2" w:rsidRPr="004563F6" w:rsidRDefault="00DC47E2" w:rsidP="00B22AAD">
      <w:pPr>
        <w:rPr>
          <w:sz w:val="10"/>
          <w:szCs w:val="10"/>
        </w:rPr>
      </w:pPr>
      <w:bookmarkStart w:id="0" w:name="_GoBack"/>
      <w:bookmarkEnd w:id="0"/>
    </w:p>
    <w:tbl>
      <w:tblPr>
        <w:tblStyle w:val="TableGrid1"/>
        <w:tblpPr w:leftFromText="141" w:rightFromText="141" w:vertAnchor="text" w:horzAnchor="margin" w:tblpX="-398" w:tblpY="-194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73"/>
        <w:gridCol w:w="2747"/>
        <w:gridCol w:w="163"/>
        <w:gridCol w:w="1955"/>
        <w:gridCol w:w="3119"/>
      </w:tblGrid>
      <w:tr w:rsidR="00DC47E2" w:rsidRPr="00DC47E2" w14:paraId="6A99A40C" w14:textId="77777777" w:rsidTr="00855550">
        <w:tc>
          <w:tcPr>
            <w:tcW w:w="10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6CAB1B" w14:textId="77777777" w:rsidR="00DC47E2" w:rsidRPr="00DC47E2" w:rsidRDefault="00DC47E2" w:rsidP="00C56E4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 xml:space="preserve">Становище на </w:t>
            </w:r>
          </w:p>
          <w:p w14:paraId="44ED1A01" w14:textId="77777777" w:rsidR="00DC47E2" w:rsidRPr="00DC47E2" w:rsidRDefault="00DC47E2" w:rsidP="00C56E4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570B611E" w14:textId="77777777" w:rsidR="00DC47E2" w:rsidRPr="00DC47E2" w:rsidRDefault="00DC47E2" w:rsidP="00C56E4D">
            <w:pPr>
              <w:spacing w:after="120" w:line="240" w:lineRule="auto"/>
              <w:ind w:firstLine="737"/>
              <w:jc w:val="center"/>
              <w:rPr>
                <w:i/>
                <w:sz w:val="16"/>
                <w:szCs w:val="16"/>
              </w:rPr>
            </w:pPr>
            <w:r w:rsidRPr="00DC47E2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DC47E2" w:rsidRPr="00DC47E2" w14:paraId="3317487A" w14:textId="77777777" w:rsidTr="00855550">
        <w:trPr>
          <w:trHeight w:val="483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3374CA2" w14:textId="77777777" w:rsidR="00DC47E2" w:rsidRPr="004563F6" w:rsidRDefault="00DC47E2" w:rsidP="00C56E4D">
            <w:pPr>
              <w:spacing w:line="240" w:lineRule="auto"/>
            </w:pPr>
            <w:r w:rsidRPr="004563F6">
              <w:rPr>
                <w:b/>
              </w:rPr>
              <w:t>Проект на акт:</w:t>
            </w:r>
          </w:p>
        </w:tc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B83A863" w14:textId="77777777" w:rsidR="00DC47E2" w:rsidRPr="004563F6" w:rsidRDefault="00DC47E2" w:rsidP="00C56E4D">
            <w:pPr>
              <w:spacing w:line="240" w:lineRule="auto"/>
              <w:contextualSpacing/>
              <w:jc w:val="left"/>
              <w:rPr>
                <w:rFonts w:eastAsiaTheme="majorEastAsia"/>
                <w:b/>
                <w:spacing w:val="-10"/>
                <w:kern w:val="28"/>
              </w:rPr>
            </w:pPr>
            <w:r w:rsidRPr="004563F6">
              <w:rPr>
                <w:rFonts w:eastAsiaTheme="majorEastAsia"/>
                <w:b/>
                <w:spacing w:val="-10"/>
                <w:kern w:val="28"/>
              </w:rPr>
              <w:t xml:space="preserve">Вид </w:t>
            </w:r>
            <w:r w:rsidRPr="004563F6">
              <w:rPr>
                <w:rFonts w:eastAsiaTheme="majorEastAsia"/>
                <w:b/>
                <w:spacing w:val="-10"/>
                <w:kern w:val="28"/>
                <w:shd w:val="clear" w:color="auto" w:fill="000000" w:themeFill="text1"/>
              </w:rPr>
              <w:t>оценка:</w:t>
            </w:r>
            <w:r w:rsidRPr="004563F6">
              <w:rPr>
                <w:rFonts w:eastAsiaTheme="majorEastAsia"/>
                <w:b/>
                <w:spacing w:val="-10"/>
                <w:kern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4DFA706" w14:textId="77777777" w:rsidR="00DC47E2" w:rsidRPr="004563F6" w:rsidRDefault="00DC47E2" w:rsidP="00C56E4D">
            <w:pPr>
              <w:spacing w:line="240" w:lineRule="auto"/>
              <w:jc w:val="left"/>
            </w:pPr>
            <w:r w:rsidRPr="004563F6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r w:rsidRPr="004563F6">
              <w:rPr>
                <w:shd w:val="clear" w:color="auto" w:fill="FFFFFF" w:themeFill="background1"/>
              </w:rPr>
              <w:instrText xml:space="preserve"> FORMDROPDOWN </w:instrText>
            </w:r>
            <w:r w:rsidR="00735127">
              <w:rPr>
                <w:shd w:val="clear" w:color="auto" w:fill="FFFFFF" w:themeFill="background1"/>
              </w:rPr>
            </w:r>
            <w:r w:rsidR="00735127">
              <w:rPr>
                <w:shd w:val="clear" w:color="auto" w:fill="FFFFFF" w:themeFill="background1"/>
              </w:rPr>
              <w:fldChar w:fldCharType="separate"/>
            </w:r>
            <w:r w:rsidRPr="004563F6">
              <w:rPr>
                <w:shd w:val="clear" w:color="auto" w:fill="FFFFFF" w:themeFill="background1"/>
              </w:rPr>
              <w:fldChar w:fldCharType="end"/>
            </w:r>
          </w:p>
        </w:tc>
      </w:tr>
      <w:tr w:rsidR="00DC47E2" w:rsidRPr="00DC47E2" w14:paraId="2DFDDBAD" w14:textId="77777777" w:rsidTr="00855550">
        <w:trPr>
          <w:trHeight w:val="548"/>
        </w:trPr>
        <w:tc>
          <w:tcPr>
            <w:tcW w:w="4820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F444C1C" w14:textId="5AF2749A" w:rsidR="00DC47E2" w:rsidRPr="004563F6" w:rsidRDefault="000907BA" w:rsidP="00C56E4D">
            <w:r w:rsidRPr="004563F6">
              <w:t>3акон за изменение и допълнение на Закона за водите</w:t>
            </w:r>
          </w:p>
        </w:tc>
        <w:tc>
          <w:tcPr>
            <w:tcW w:w="211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A289535" w14:textId="77777777" w:rsidR="00DC47E2" w:rsidRPr="004563F6" w:rsidRDefault="00DC47E2" w:rsidP="00C56E4D">
            <w:pPr>
              <w:contextualSpacing/>
              <w:jc w:val="left"/>
              <w:rPr>
                <w:rFonts w:eastAsiaTheme="majorEastAsia"/>
                <w:b/>
                <w:spacing w:val="-10"/>
                <w:kern w:val="28"/>
              </w:rPr>
            </w:pPr>
            <w:r w:rsidRPr="004563F6">
              <w:rPr>
                <w:rFonts w:eastAsiaTheme="majorEastAsia"/>
                <w:b/>
                <w:spacing w:val="-10"/>
                <w:kern w:val="28"/>
              </w:rPr>
              <w:t>Становище по ред:</w:t>
            </w:r>
          </w:p>
        </w:tc>
        <w:tc>
          <w:tcPr>
            <w:tcW w:w="311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1F0CD3A" w14:textId="77777777" w:rsidR="00DC47E2" w:rsidRPr="004563F6" w:rsidRDefault="00DC47E2" w:rsidP="00C56E4D">
            <w:pPr>
              <w:jc w:val="left"/>
            </w:pPr>
            <w:r w:rsidRPr="004563F6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r w:rsidRPr="004563F6">
              <w:instrText xml:space="preserve"> FORMDROPDOWN </w:instrText>
            </w:r>
            <w:r w:rsidR="00735127">
              <w:fldChar w:fldCharType="separate"/>
            </w:r>
            <w:r w:rsidRPr="004563F6">
              <w:fldChar w:fldCharType="end"/>
            </w:r>
          </w:p>
        </w:tc>
      </w:tr>
      <w:tr w:rsidR="00DC47E2" w:rsidRPr="00DC47E2" w14:paraId="428479C5" w14:textId="77777777" w:rsidTr="00855550">
        <w:trPr>
          <w:trHeight w:val="190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7EE138C3" w14:textId="77777777" w:rsidR="00DC47E2" w:rsidRPr="004563F6" w:rsidRDefault="00DC47E2" w:rsidP="00C56E4D">
            <w:pPr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211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14B8488" w14:textId="77777777" w:rsidR="00DC47E2" w:rsidRPr="004563F6" w:rsidRDefault="00DC47E2" w:rsidP="00C56E4D">
            <w:pPr>
              <w:ind w:left="13"/>
              <w:contextualSpacing/>
              <w:jc w:val="left"/>
              <w:rPr>
                <w:rFonts w:eastAsiaTheme="majorEastAsia"/>
                <w:b/>
                <w:spacing w:val="-10"/>
                <w:kern w:val="28"/>
              </w:rPr>
            </w:pPr>
            <w:r w:rsidRPr="004563F6">
              <w:rPr>
                <w:rFonts w:eastAsiaTheme="majorEastAsia"/>
                <w:b/>
                <w:spacing w:val="-10"/>
                <w:kern w:val="28"/>
              </w:rPr>
              <w:t xml:space="preserve">Номер и дата:  </w:t>
            </w:r>
          </w:p>
        </w:tc>
        <w:tc>
          <w:tcPr>
            <w:tcW w:w="311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9281A43" w14:textId="77777777" w:rsidR="00DC47E2" w:rsidRPr="004563F6" w:rsidRDefault="002F64B0" w:rsidP="00C56E4D">
            <w:pPr>
              <w:jc w:val="left"/>
            </w:pPr>
            <w:r>
              <w:rPr>
                <w:b/>
              </w:rPr>
              <w:pict w14:anchorId="2CABC9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03.7pt;height:25.9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DC47E2" w:rsidRPr="00DC47E2" w14:paraId="263AC887" w14:textId="77777777" w:rsidTr="00855550">
        <w:trPr>
          <w:trHeight w:val="560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4056F3" w14:textId="77777777" w:rsidR="00DC47E2" w:rsidRPr="004563F6" w:rsidRDefault="00DC47E2" w:rsidP="00C56E4D">
            <w:pPr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211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254A70F" w14:textId="77777777" w:rsidR="00DC47E2" w:rsidRPr="004563F6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</w:rPr>
            </w:pPr>
            <w:r w:rsidRPr="004563F6">
              <w:rPr>
                <w:rFonts w:eastAsiaTheme="majorEastAsia"/>
                <w:b/>
                <w:spacing w:val="-10"/>
                <w:kern w:val="28"/>
              </w:rPr>
              <w:t xml:space="preserve">В отговор на №:   </w:t>
            </w:r>
          </w:p>
        </w:tc>
        <w:tc>
          <w:tcPr>
            <w:tcW w:w="311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499AAD0" w14:textId="7CE8DB77" w:rsidR="00DC47E2" w:rsidRPr="004563F6" w:rsidRDefault="00F213FE" w:rsidP="00F213FE">
            <w:pPr>
              <w:jc w:val="left"/>
            </w:pPr>
            <w:r>
              <w:t>04-00-337-3</w:t>
            </w:r>
            <w:r w:rsidR="00D320EF" w:rsidRPr="00122D45">
              <w:t>/</w:t>
            </w:r>
            <w:r>
              <w:t>24.04</w:t>
            </w:r>
            <w:r w:rsidR="00D320EF" w:rsidRPr="00122D45">
              <w:t>.202</w:t>
            </w:r>
            <w:r>
              <w:t>4</w:t>
            </w:r>
            <w:r w:rsidR="00D320EF" w:rsidRPr="00122D45">
              <w:t xml:space="preserve"> г.</w:t>
            </w:r>
          </w:p>
        </w:tc>
      </w:tr>
      <w:tr w:rsidR="00DC47E2" w:rsidRPr="00DC47E2" w14:paraId="28582966" w14:textId="77777777" w:rsidTr="00855550">
        <w:trPr>
          <w:trHeight w:val="685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382BAA27" w14:textId="77777777" w:rsidR="00DC47E2" w:rsidRPr="004563F6" w:rsidRDefault="00DC47E2" w:rsidP="00C56E4D">
            <w:pPr>
              <w:jc w:val="left"/>
              <w:rPr>
                <w:rFonts w:asciiTheme="minorHAnsi" w:hAnsiTheme="minorHAnsi" w:cstheme="minorBidi"/>
              </w:rPr>
            </w:pPr>
          </w:p>
        </w:tc>
        <w:tc>
          <w:tcPr>
            <w:tcW w:w="211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7E2B5C1A" w14:textId="77777777" w:rsidR="00DC47E2" w:rsidRPr="004563F6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</w:rPr>
            </w:pPr>
            <w:r w:rsidRPr="004563F6">
              <w:rPr>
                <w:rFonts w:eastAsiaTheme="majorEastAsia"/>
                <w:b/>
                <w:spacing w:val="-10"/>
                <w:kern w:val="28"/>
              </w:rPr>
              <w:t>Институция:</w:t>
            </w:r>
          </w:p>
        </w:tc>
        <w:sdt>
          <w:sdtPr>
            <w:id w:val="1180695904"/>
            <w:placeholder>
              <w:docPart w:val="A802ABFEC9B443F8BA16A302C9B1E2A3"/>
            </w:placeholder>
          </w:sdtPr>
          <w:sdtEndPr/>
          <w:sdtContent>
            <w:sdt>
              <w:sdtPr>
                <w:id w:val="-1240795781"/>
                <w:placeholder>
                  <w:docPart w:val="D9E0FC634B9645048294735CE00713A4"/>
                </w:placeholder>
              </w:sdtPr>
              <w:sdtEndPr/>
              <w:sdtContent>
                <w:tc>
                  <w:tcPr>
                    <w:tcW w:w="3119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14:paraId="60794BA7" w14:textId="06F5F997" w:rsidR="00DC47E2" w:rsidRPr="004563F6" w:rsidRDefault="00DC47E2" w:rsidP="000907BA">
                    <w:pPr>
                      <w:jc w:val="left"/>
                    </w:pPr>
                    <w:r w:rsidRPr="004563F6">
                      <w:t xml:space="preserve">Министерство </w:t>
                    </w:r>
                    <w:r w:rsidR="00A424FE" w:rsidRPr="004563F6">
                      <w:t xml:space="preserve">на </w:t>
                    </w:r>
                    <w:r w:rsidR="00F213FE">
                      <w:t>околната среда и водите</w:t>
                    </w:r>
                  </w:p>
                </w:tc>
              </w:sdtContent>
            </w:sdt>
          </w:sdtContent>
        </w:sdt>
      </w:tr>
      <w:tr w:rsidR="00DC47E2" w:rsidRPr="00DC47E2" w14:paraId="3C02C3E8" w14:textId="77777777" w:rsidTr="00855550">
        <w:trPr>
          <w:trHeight w:val="523"/>
        </w:trPr>
        <w:tc>
          <w:tcPr>
            <w:tcW w:w="2073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5938FED4" w14:textId="77777777" w:rsidR="00DC47E2" w:rsidRPr="004563F6" w:rsidRDefault="00DC47E2" w:rsidP="00C56E4D">
            <w:pPr>
              <w:spacing w:line="240" w:lineRule="auto"/>
              <w:jc w:val="left"/>
              <w:rPr>
                <w:b/>
              </w:rPr>
            </w:pPr>
            <w:r w:rsidRPr="004563F6">
              <w:rPr>
                <w:b/>
              </w:rPr>
              <w:t>Диспозитив:</w:t>
            </w:r>
          </w:p>
        </w:tc>
        <w:tc>
          <w:tcPr>
            <w:tcW w:w="798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94DD82" w14:textId="77777777" w:rsidR="00DC47E2" w:rsidRPr="004563F6" w:rsidRDefault="00735127" w:rsidP="00C56E4D">
            <w:pPr>
              <w:spacing w:line="240" w:lineRule="auto"/>
              <w:jc w:val="left"/>
            </w:pPr>
            <w:hyperlink w:anchor="Dropdown3" w:tooltip="Съобразете текста от раздела с ограниченията спрямо диспозитива." w:history="1">
              <w:r w:rsidR="00DC47E2" w:rsidRPr="004563F6"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r w:rsidR="00DC47E2" w:rsidRPr="004563F6">
                <w:instrText xml:space="preserve"> FORMDROPDOWN </w:instrText>
              </w:r>
              <w:r>
                <w:fldChar w:fldCharType="separate"/>
              </w:r>
              <w:r w:rsidR="00DC47E2" w:rsidRPr="004563F6">
                <w:fldChar w:fldCharType="end"/>
              </w:r>
            </w:hyperlink>
          </w:p>
        </w:tc>
      </w:tr>
      <w:tr w:rsidR="00DC47E2" w:rsidRPr="00DC47E2" w14:paraId="21F90AEC" w14:textId="77777777" w:rsidTr="00855550">
        <w:trPr>
          <w:trHeight w:val="596"/>
        </w:trPr>
        <w:tc>
          <w:tcPr>
            <w:tcW w:w="2073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5122628A" w14:textId="77777777" w:rsidR="00DC47E2" w:rsidRPr="004563F6" w:rsidRDefault="00DC47E2" w:rsidP="00C56E4D">
            <w:pPr>
              <w:spacing w:line="240" w:lineRule="auto"/>
              <w:jc w:val="left"/>
            </w:pPr>
            <w:r w:rsidRPr="004563F6">
              <w:rPr>
                <w:b/>
              </w:rPr>
              <w:t>Основание:</w:t>
            </w:r>
          </w:p>
        </w:tc>
        <w:tc>
          <w:tcPr>
            <w:tcW w:w="291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2F2B1802" w14:textId="77777777" w:rsidR="00DC47E2" w:rsidRPr="004563F6" w:rsidRDefault="00DC47E2" w:rsidP="00C56E4D">
            <w:pPr>
              <w:spacing w:line="240" w:lineRule="auto"/>
              <w:jc w:val="left"/>
            </w:pPr>
            <w:r w:rsidRPr="004563F6">
              <w:t>Чл. 30б, ал. 3, т. 2, б. “а</w:t>
            </w:r>
            <w:r w:rsidRPr="004563F6">
              <w:rPr>
                <w:lang w:val="ru-RU"/>
              </w:rPr>
              <w:t>”</w:t>
            </w:r>
          </w:p>
        </w:tc>
        <w:tc>
          <w:tcPr>
            <w:tcW w:w="507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2344D055" w14:textId="77777777" w:rsidR="00DC47E2" w:rsidRPr="004563F6" w:rsidRDefault="00DC47E2" w:rsidP="00C56E4D">
            <w:pPr>
              <w:spacing w:line="240" w:lineRule="auto"/>
              <w:jc w:val="left"/>
            </w:pPr>
            <w:r w:rsidRPr="004563F6">
              <w:t>от Устройствения правилник на Министерския съвет и на неговата администрация</w:t>
            </w:r>
          </w:p>
        </w:tc>
      </w:tr>
    </w:tbl>
    <w:p w14:paraId="2FA99578" w14:textId="77777777" w:rsidR="00C56E4D" w:rsidRPr="004563F6" w:rsidRDefault="00C56E4D" w:rsidP="00B22AAD">
      <w:pPr>
        <w:rPr>
          <w:sz w:val="2"/>
          <w:szCs w:val="2"/>
        </w:rPr>
      </w:pPr>
    </w:p>
    <w:p w14:paraId="3E1B25E2" w14:textId="77777777" w:rsidR="00DC47E2" w:rsidRPr="007B3927" w:rsidRDefault="00DC47E2" w:rsidP="00B22AAD">
      <w:pPr>
        <w:sectPr w:rsidR="00DC47E2" w:rsidRPr="007B3927" w:rsidSect="004332F8">
          <w:footerReference w:type="default" r:id="rId9"/>
          <w:footerReference w:type="first" r:id="rId10"/>
          <w:type w:val="continuous"/>
          <w:pgSz w:w="11906" w:h="16838"/>
          <w:pgMar w:top="1417" w:right="1417" w:bottom="426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E2F6D" w:rsidRPr="007B3927" w14:paraId="54E3E36B" w14:textId="77777777" w:rsidTr="00855550">
        <w:tc>
          <w:tcPr>
            <w:tcW w:w="9923" w:type="dxa"/>
            <w:shd w:val="clear" w:color="auto" w:fill="FFFFFF" w:themeFill="background1"/>
          </w:tcPr>
          <w:p w14:paraId="1DC1B4A2" w14:textId="6463982B" w:rsidR="00513A48" w:rsidRDefault="00513A48" w:rsidP="00F24C50">
            <w:pPr>
              <w:pStyle w:val="Heading1"/>
              <w:outlineLvl w:val="0"/>
            </w:pPr>
            <w:r w:rsidRPr="00513A48">
              <w:lastRenderedPageBreak/>
              <w:t xml:space="preserve">По </w:t>
            </w:r>
            <w:r w:rsidRPr="00F24C50">
              <w:t>законодателната</w:t>
            </w:r>
            <w:r w:rsidRPr="00513A48">
              <w:t xml:space="preserve"> </w:t>
            </w:r>
            <w:r w:rsidRPr="00756E85">
              <w:t>инициатива</w:t>
            </w:r>
            <w:r w:rsidRPr="00513A48">
              <w:t>:</w:t>
            </w:r>
          </w:p>
          <w:p w14:paraId="4DA34DC4" w14:textId="73AC3F60" w:rsidR="00811596" w:rsidRDefault="000F65BB" w:rsidP="00C27D89">
            <w:pPr>
              <w:pStyle w:val="02"/>
            </w:pPr>
            <w:r w:rsidRPr="000F65BB">
              <w:t xml:space="preserve">В Законодателната програма на Министерския съвет (ЗП на МС) е предвидено със </w:t>
            </w:r>
            <w:r w:rsidRPr="000C0E41">
              <w:rPr>
                <w:b/>
                <w:i/>
              </w:rPr>
              <w:t>ЗИД на Закона за водите</w:t>
            </w:r>
            <w:r w:rsidRPr="000F65BB">
              <w:t xml:space="preserve"> (в т. </w:t>
            </w:r>
            <w:r>
              <w:t>57</w:t>
            </w:r>
            <w:r w:rsidRPr="000F65BB">
              <w:t>) да бъдат извър</w:t>
            </w:r>
            <w:r>
              <w:t>шени промени в следните насоки:</w:t>
            </w:r>
          </w:p>
          <w:p w14:paraId="08D15B7C" w14:textId="35DFFBC9" w:rsidR="000F65BB" w:rsidRDefault="000F65BB" w:rsidP="00695821">
            <w:pPr>
              <w:pStyle w:val="02"/>
              <w:numPr>
                <w:ilvl w:val="0"/>
                <w:numId w:val="14"/>
              </w:numPr>
              <w:ind w:left="890"/>
            </w:pPr>
            <w:r>
              <w:t>ЦЕЛ 1: Въвеждане на разпоредби в нормативната уредба за прилагане на Регламент (ЕС)  2020/741 относно минималните изисквания за повторно използване на водата</w:t>
            </w:r>
          </w:p>
          <w:p w14:paraId="1CB68895" w14:textId="04784540" w:rsidR="000F65BB" w:rsidRDefault="000F65BB" w:rsidP="00695821">
            <w:pPr>
              <w:pStyle w:val="02"/>
              <w:numPr>
                <w:ilvl w:val="0"/>
                <w:numId w:val="14"/>
              </w:numPr>
              <w:ind w:left="890"/>
            </w:pPr>
            <w:r>
              <w:t>ЦЕЛ 2: Усъвършенстване на нормативната и стратегическата рамка и изградена инфраструктура за интегрирано управление на водите, в т. ч. опазване и подобряване състоянието на водите, постигане и поддържане на добро количествено, химично и екологично състояние на водните тела на територията на Република България и на околната среда в морските води</w:t>
            </w:r>
          </w:p>
          <w:p w14:paraId="3164D126" w14:textId="62C50290" w:rsidR="000F65BB" w:rsidRDefault="000F65BB" w:rsidP="000873AE">
            <w:pPr>
              <w:pStyle w:val="02"/>
            </w:pPr>
            <w:r w:rsidRPr="000F65BB">
              <w:t>Видно от обхвата на</w:t>
            </w:r>
            <w:r w:rsidR="006205AE">
              <w:t xml:space="preserve"> представената оценка</w:t>
            </w:r>
            <w:r w:rsidRPr="000F65BB">
              <w:t xml:space="preserve"> </w:t>
            </w:r>
            <w:r w:rsidR="00C01E97">
              <w:t xml:space="preserve">не е предвидено включването на текстове, с което да се осигури изпълнение на </w:t>
            </w:r>
            <w:r w:rsidR="00E77171">
              <w:t>ЦЕЛ 2. В този смисъл информацията в представената в рамките на настоящото съгласуване частична предварителна оценка на въздействието е необходимо да</w:t>
            </w:r>
            <w:r w:rsidR="00C01E97">
              <w:t xml:space="preserve"> се допълни, така че да са оцен</w:t>
            </w:r>
            <w:r w:rsidR="000C0E41">
              <w:t>ят</w:t>
            </w:r>
            <w:r w:rsidR="00E77171">
              <w:t xml:space="preserve"> всички аспекти на планираната законодателна инициатива (съгласно т. 57 от ЗП на МС за първата половина на 2024 г.)</w:t>
            </w:r>
          </w:p>
          <w:p w14:paraId="73FB165D" w14:textId="34EB2C57" w:rsidR="0047247D" w:rsidRDefault="006205AE" w:rsidP="000F65BB">
            <w:pPr>
              <w:pStyle w:val="02"/>
            </w:pPr>
            <w:r>
              <w:t>Напомняме</w:t>
            </w:r>
            <w:r w:rsidR="000F65BB">
              <w:t xml:space="preserve">, че с оглед организирането на единни законодателни инициативи, е необходимо да бъдат изготвяни единни законопроекти и да не се допуска в рамките на една година </w:t>
            </w:r>
            <w:r w:rsidR="000C0E41">
              <w:t>Министерския</w:t>
            </w:r>
            <w:r w:rsidR="000873AE">
              <w:t>т</w:t>
            </w:r>
            <w:r w:rsidR="000C0E41">
              <w:t xml:space="preserve"> съвет</w:t>
            </w:r>
            <w:r w:rsidR="000F65BB">
              <w:t xml:space="preserve"> да предлага повече от един законопроект за промени в един </w:t>
            </w:r>
            <w:r w:rsidR="000C0E41">
              <w:t xml:space="preserve">и същ </w:t>
            </w:r>
            <w:r w:rsidR="000F65BB">
              <w:t>действащ закон</w:t>
            </w:r>
            <w:r w:rsidR="0047247D">
              <w:t>.</w:t>
            </w:r>
          </w:p>
          <w:p w14:paraId="376CBCD7" w14:textId="0ABC7D4F" w:rsidR="00234F3F" w:rsidRDefault="00234F3F" w:rsidP="00F24C50">
            <w:pPr>
              <w:pStyle w:val="Heading1"/>
              <w:outlineLvl w:val="0"/>
            </w:pPr>
            <w:r>
              <w:t xml:space="preserve">Общ </w:t>
            </w:r>
            <w:r w:rsidRPr="00F24C50">
              <w:t>коментар</w:t>
            </w:r>
          </w:p>
          <w:p w14:paraId="6CE41166" w14:textId="2D502E14" w:rsidR="00234F3F" w:rsidRDefault="00234F3F" w:rsidP="00234F3F">
            <w:pPr>
              <w:pStyle w:val="02"/>
            </w:pPr>
            <w:r w:rsidRPr="00234F3F">
              <w:t xml:space="preserve">Смисълът за изготвянето на оценка на въздействието е да се определят и опишат проблемите, които следва да бъдат решени, да се дефинират целите, които да бъдат постигнати, да се формулират вариантите на действие, водещи до разрешаване на посочените проблеми и </w:t>
            </w:r>
            <w:r w:rsidRPr="00234F3F">
              <w:lastRenderedPageBreak/>
              <w:t>да се анализират въздействията на тези варианти върху засегнатите страни</w:t>
            </w:r>
            <w:r>
              <w:t xml:space="preserve">. </w:t>
            </w:r>
            <w:r w:rsidRPr="00234F3F">
              <w:t xml:space="preserve">Въпреки че Регламентът е от категорията на нормативни актове с пряко действие, необходимо е </w:t>
            </w:r>
            <w:r w:rsidR="002506F5">
              <w:t xml:space="preserve">в оценката </w:t>
            </w:r>
            <w:r w:rsidRPr="00234F3F">
              <w:t xml:space="preserve">да се разгледат конкретните проблеми, които са били изложени в мотивите при приемането </w:t>
            </w:r>
            <w:r w:rsidR="000C0E41">
              <w:t>му т.е.</w:t>
            </w:r>
            <w:r w:rsidRPr="00234F3F">
              <w:t xml:space="preserve"> </w:t>
            </w:r>
            <w:r w:rsidR="000C0E41">
              <w:t>п</w:t>
            </w:r>
            <w:r w:rsidRPr="00234F3F">
              <w:t xml:space="preserve">рилагането на </w:t>
            </w:r>
            <w:r w:rsidRPr="000C0E41">
              <w:rPr>
                <w:b/>
                <w:i/>
              </w:rPr>
              <w:t>Регламент (ЕС) 2020/741</w:t>
            </w:r>
            <w:r w:rsidR="008B04F1">
              <w:t xml:space="preserve"> </w:t>
            </w:r>
            <w:r w:rsidRPr="00234F3F">
              <w:t xml:space="preserve">обхваща конкретни мерки, които </w:t>
            </w:r>
            <w:r w:rsidR="000C0E41">
              <w:t xml:space="preserve">трябва </w:t>
            </w:r>
            <w:r w:rsidRPr="00234F3F">
              <w:t>да бъдат въведени в националното ни законодателст</w:t>
            </w:r>
            <w:r w:rsidR="000C0E41">
              <w:t xml:space="preserve">во и при изготвяне на оценката </w:t>
            </w:r>
            <w:r w:rsidRPr="00234F3F">
              <w:t xml:space="preserve">се имат предвид </w:t>
            </w:r>
            <w:r w:rsidRPr="005304A6">
              <w:rPr>
                <w:b/>
              </w:rPr>
              <w:t xml:space="preserve">проблемите и целите, изложени в мотивите при приемането </w:t>
            </w:r>
            <w:r w:rsidR="000C0E41">
              <w:rPr>
                <w:b/>
              </w:rPr>
              <w:t xml:space="preserve">на </w:t>
            </w:r>
            <w:r w:rsidR="000C0E41" w:rsidRPr="000C0E41">
              <w:rPr>
                <w:b/>
                <w:i/>
              </w:rPr>
              <w:t>Регламент (ЕС) 2020/741</w:t>
            </w:r>
            <w:r w:rsidRPr="00234F3F">
              <w:t>.</w:t>
            </w:r>
          </w:p>
          <w:p w14:paraId="38321992" w14:textId="25D77200" w:rsidR="002D2461" w:rsidRPr="002D2461" w:rsidRDefault="000C0E41" w:rsidP="002D2461">
            <w:pPr>
              <w:pStyle w:val="02"/>
            </w:pPr>
            <w:r>
              <w:t>Отново п</w:t>
            </w:r>
            <w:r w:rsidR="002D2461">
              <w:t>репоръчваме при изготвяне на оценка</w:t>
            </w:r>
            <w:r w:rsidR="002D2461" w:rsidRPr="002D2461">
              <w:t xml:space="preserve"> на въздействието да се следват стриктно насоките от </w:t>
            </w:r>
            <w:hyperlink r:id="rId11" w:history="1">
              <w:r w:rsidR="002D2461" w:rsidRPr="002D2461">
                <w:rPr>
                  <w:rStyle w:val="Hyperlink"/>
                </w:rPr>
                <w:t>Ръководството за извършване на предварителна оценка на въздействието</w:t>
              </w:r>
            </w:hyperlink>
            <w:r w:rsidR="002D2461" w:rsidRPr="002D2461">
              <w:t>.</w:t>
            </w:r>
          </w:p>
          <w:p w14:paraId="30F10089" w14:textId="0DFFAD49" w:rsidR="007E29E1" w:rsidRDefault="007E29E1" w:rsidP="00F24C50">
            <w:pPr>
              <w:pStyle w:val="Heading1"/>
              <w:outlineLvl w:val="0"/>
            </w:pPr>
            <w:r w:rsidRPr="004563F6">
              <w:t xml:space="preserve">Относно </w:t>
            </w:r>
            <w:r w:rsidRPr="00F24C50">
              <w:t>раздел</w:t>
            </w:r>
            <w:r w:rsidRPr="004563F6">
              <w:t xml:space="preserve"> 1 „Проблем/</w:t>
            </w:r>
            <w:r w:rsidRPr="00756E85">
              <w:t>проблеми</w:t>
            </w:r>
            <w:r w:rsidRPr="004563F6">
              <w:t xml:space="preserve"> за решаване”</w:t>
            </w:r>
          </w:p>
          <w:p w14:paraId="34797233" w14:textId="067B5160" w:rsidR="002506F5" w:rsidRDefault="001120C0" w:rsidP="002506F5">
            <w:pPr>
              <w:pStyle w:val="02"/>
            </w:pPr>
            <w:r>
              <w:t xml:space="preserve">Проблемът, който трябва да бъде подробно разгледан </w:t>
            </w:r>
            <w:r w:rsidR="00AA211F">
              <w:t xml:space="preserve">в оценката </w:t>
            </w:r>
            <w:r>
              <w:t xml:space="preserve">е </w:t>
            </w:r>
            <w:r w:rsidR="005304A6">
              <w:t xml:space="preserve">по отношение </w:t>
            </w:r>
            <w:r w:rsidR="001539CB">
              <w:t xml:space="preserve">на констатирания </w:t>
            </w:r>
            <w:r w:rsidR="001539CB" w:rsidRPr="001539CB">
              <w:t>недостиг</w:t>
            </w:r>
            <w:r w:rsidR="001539CB">
              <w:t xml:space="preserve"> на водни</w:t>
            </w:r>
            <w:r w:rsidR="00AA211F">
              <w:t>те</w:t>
            </w:r>
            <w:r w:rsidR="001539CB">
              <w:t xml:space="preserve"> ресурси, </w:t>
            </w:r>
            <w:r w:rsidR="001539CB" w:rsidRPr="001539CB">
              <w:t xml:space="preserve">изменението на климата, </w:t>
            </w:r>
            <w:r w:rsidR="004C69FF">
              <w:t>в</w:t>
            </w:r>
            <w:r w:rsidR="004C69FF" w:rsidRPr="001539CB">
              <w:t>лошаване</w:t>
            </w:r>
            <w:r w:rsidR="004C69FF">
              <w:t>то</w:t>
            </w:r>
            <w:r w:rsidR="004C69FF" w:rsidRPr="001539CB">
              <w:t xml:space="preserve"> на качеството на водата</w:t>
            </w:r>
            <w:r w:rsidR="004C69FF">
              <w:t xml:space="preserve">, </w:t>
            </w:r>
            <w:r w:rsidR="001539CB" w:rsidRPr="001539CB">
              <w:t>непредвидимите метеорологични условия</w:t>
            </w:r>
            <w:r w:rsidR="000C0E41">
              <w:t xml:space="preserve">, </w:t>
            </w:r>
            <w:r w:rsidR="001539CB" w:rsidRPr="001539CB">
              <w:t>сушите</w:t>
            </w:r>
            <w:r w:rsidR="00AA211F">
              <w:t xml:space="preserve"> и </w:t>
            </w:r>
            <w:r w:rsidR="004C69FF">
              <w:t>др. фактори</w:t>
            </w:r>
            <w:r w:rsidR="001539CB">
              <w:t xml:space="preserve">, които </w:t>
            </w:r>
            <w:r w:rsidR="001539CB" w:rsidRPr="001539CB">
              <w:t xml:space="preserve">допринасят </w:t>
            </w:r>
            <w:r w:rsidR="00AA211F">
              <w:t>за задълбочав</w:t>
            </w:r>
            <w:r w:rsidR="000C0E41">
              <w:t xml:space="preserve">ане на риска от недостатъчно </w:t>
            </w:r>
            <w:r w:rsidR="001539CB">
              <w:t>осигуряване на</w:t>
            </w:r>
            <w:r w:rsidR="00AA211F">
              <w:t xml:space="preserve"> </w:t>
            </w:r>
            <w:r w:rsidR="001539CB" w:rsidRPr="001539CB">
              <w:t>прясна вода</w:t>
            </w:r>
            <w:r w:rsidR="00AA211F">
              <w:t>, а решението на т</w:t>
            </w:r>
            <w:r w:rsidR="000C0E41">
              <w:t>е</w:t>
            </w:r>
            <w:r w:rsidR="00AA211F">
              <w:t>зи проблем</w:t>
            </w:r>
            <w:r w:rsidR="000C0E41">
              <w:t>и</w:t>
            </w:r>
            <w:r w:rsidR="00AA211F">
              <w:t xml:space="preserve"> е да се разгледа </w:t>
            </w:r>
            <w:r w:rsidR="000C0E41">
              <w:t xml:space="preserve">конкретния </w:t>
            </w:r>
            <w:r w:rsidR="004C69FF" w:rsidRPr="004C69FF">
              <w:t xml:space="preserve">алтернативен вариант за водоснабдяване, който </w:t>
            </w:r>
            <w:r w:rsidR="004C69FF">
              <w:t xml:space="preserve">да </w:t>
            </w:r>
            <w:r w:rsidR="004C69FF" w:rsidRPr="004C69FF">
              <w:t>може да спомогне за намаляването на недостига на вода</w:t>
            </w:r>
            <w:r w:rsidR="000C0E41">
              <w:t xml:space="preserve">, като </w:t>
            </w:r>
            <w:r w:rsidR="004C69FF">
              <w:t xml:space="preserve">се оцени </w:t>
            </w:r>
            <w:r w:rsidR="005304A6">
              <w:t xml:space="preserve">възможността за </w:t>
            </w:r>
            <w:r w:rsidRPr="0027108C">
              <w:rPr>
                <w:rFonts w:eastAsia="Times New Roman"/>
              </w:rPr>
              <w:t>повторно</w:t>
            </w:r>
            <w:r w:rsidR="005304A6">
              <w:rPr>
                <w:rFonts w:eastAsia="Times New Roman"/>
              </w:rPr>
              <w:t>то</w:t>
            </w:r>
            <w:r w:rsidRPr="0027108C">
              <w:rPr>
                <w:rFonts w:eastAsia="Times New Roman"/>
              </w:rPr>
              <w:t xml:space="preserve"> използване на </w:t>
            </w:r>
            <w:r w:rsidR="005304A6" w:rsidRPr="00CC7CAA">
              <w:t>пречистени</w:t>
            </w:r>
            <w:r w:rsidR="00AA211F">
              <w:t>те</w:t>
            </w:r>
            <w:r w:rsidR="005304A6" w:rsidRPr="00CC7CAA">
              <w:t xml:space="preserve"> отпадъчни води</w:t>
            </w:r>
            <w:r w:rsidR="005304A6">
              <w:t>.</w:t>
            </w:r>
            <w:r w:rsidRPr="001120C0">
              <w:t xml:space="preserve"> </w:t>
            </w:r>
            <w:r w:rsidR="001539CB">
              <w:t xml:space="preserve">Предвид че </w:t>
            </w:r>
            <w:r w:rsidR="006A18B7" w:rsidRPr="004563F6">
              <w:t xml:space="preserve">оценката </w:t>
            </w:r>
            <w:r w:rsidR="001539CB">
              <w:t xml:space="preserve">на въздействието </w:t>
            </w:r>
            <w:r w:rsidR="006A18B7" w:rsidRPr="004563F6">
              <w:t>трябва да бъде извършена на основата на качествени и</w:t>
            </w:r>
            <w:r w:rsidR="00A82BD9" w:rsidRPr="004563F6">
              <w:t>/или</w:t>
            </w:r>
            <w:r w:rsidR="006A18B7" w:rsidRPr="004563F6">
              <w:t xml:space="preserve"> </w:t>
            </w:r>
            <w:r w:rsidR="00BC09FE" w:rsidRPr="004563F6">
              <w:t>количествени доказателства</w:t>
            </w:r>
            <w:r w:rsidR="001539CB">
              <w:t xml:space="preserve">, </w:t>
            </w:r>
            <w:r w:rsidR="005304A6">
              <w:t xml:space="preserve">следва </w:t>
            </w:r>
            <w:r w:rsidR="001479BD">
              <w:t xml:space="preserve">в раздела </w:t>
            </w:r>
            <w:r w:rsidR="005304A6">
              <w:t>да се</w:t>
            </w:r>
            <w:r w:rsidR="006A18B7" w:rsidRPr="004563F6">
              <w:t xml:space="preserve"> </w:t>
            </w:r>
            <w:r w:rsidR="00A82BD9" w:rsidRPr="004563F6">
              <w:t>включат</w:t>
            </w:r>
            <w:r w:rsidR="007326E7" w:rsidRPr="004563F6">
              <w:t xml:space="preserve"> </w:t>
            </w:r>
            <w:r w:rsidR="001479BD">
              <w:t xml:space="preserve">и </w:t>
            </w:r>
            <w:r w:rsidR="002B6158" w:rsidRPr="004563F6">
              <w:t>данни</w:t>
            </w:r>
            <w:r w:rsidR="00A82BD9" w:rsidRPr="004563F6">
              <w:t xml:space="preserve"> с</w:t>
            </w:r>
            <w:r w:rsidR="0071466A" w:rsidRPr="004563F6">
              <w:t xml:space="preserve"> </w:t>
            </w:r>
            <w:r w:rsidR="007326E7" w:rsidRPr="004563F6">
              <w:t xml:space="preserve">конкретни числови стойности, изводи от извършени </w:t>
            </w:r>
            <w:r w:rsidR="0071466A" w:rsidRPr="004563F6">
              <w:t>анализи</w:t>
            </w:r>
            <w:r w:rsidR="007326E7" w:rsidRPr="004563F6">
              <w:t>, примери или др.</w:t>
            </w:r>
            <w:r w:rsidR="00A82BD9" w:rsidRPr="004563F6">
              <w:t xml:space="preserve"> релевантна информация</w:t>
            </w:r>
            <w:r w:rsidR="002506F5">
              <w:t xml:space="preserve"> относно водните ресурси в България, </w:t>
            </w:r>
            <w:r w:rsidRPr="001120C0">
              <w:t>водочерпенето от водни обекти</w:t>
            </w:r>
            <w:r>
              <w:t xml:space="preserve">, качеството на водата, наличната инфраструктура, </w:t>
            </w:r>
            <w:r w:rsidRPr="001120C0">
              <w:t>управлението на водните ресурси</w:t>
            </w:r>
            <w:r w:rsidR="005304A6">
              <w:t xml:space="preserve"> и др.</w:t>
            </w:r>
            <w:r w:rsidR="001539CB">
              <w:t xml:space="preserve"> </w:t>
            </w:r>
          </w:p>
          <w:p w14:paraId="7E7241C8" w14:textId="1CA0BA06" w:rsidR="00693C7D" w:rsidRPr="004563F6" w:rsidRDefault="00693C7D" w:rsidP="00F24C50">
            <w:pPr>
              <w:pStyle w:val="Heading1"/>
              <w:outlineLvl w:val="0"/>
            </w:pPr>
            <w:r w:rsidRPr="00756E85">
              <w:t>Относно</w:t>
            </w:r>
            <w:r w:rsidRPr="004563F6">
              <w:t xml:space="preserve"> </w:t>
            </w:r>
            <w:r w:rsidRPr="00F24C50">
              <w:t>раздел</w:t>
            </w:r>
            <w:r w:rsidRPr="004563F6">
              <w:t xml:space="preserve"> 2 „Цели”</w:t>
            </w:r>
          </w:p>
          <w:p w14:paraId="072CC7FA" w14:textId="3D32880E" w:rsidR="001A5F4E" w:rsidRDefault="002D2461" w:rsidP="002D2461">
            <w:pPr>
              <w:pStyle w:val="02"/>
            </w:pPr>
            <w:r>
              <w:t xml:space="preserve">Разделът следва да се ревизира и да се дефинират </w:t>
            </w:r>
            <w:r w:rsidR="007326E7" w:rsidRPr="004563F6">
              <w:t>точни</w:t>
            </w:r>
            <w:r w:rsidR="006D6BDE" w:rsidRPr="004563F6">
              <w:t xml:space="preserve"> и </w:t>
            </w:r>
            <w:r w:rsidR="007326E7" w:rsidRPr="00756E85">
              <w:t>конкретни</w:t>
            </w:r>
            <w:r>
              <w:t xml:space="preserve"> цели единствено по отношение на проблема за недостига на водните ресурси</w:t>
            </w:r>
            <w:r w:rsidR="001A5F4E">
              <w:t xml:space="preserve">, като обръщаме внимание, че </w:t>
            </w:r>
            <w:r w:rsidR="001A5F4E" w:rsidRPr="001479BD">
              <w:rPr>
                <w:b/>
                <w:i/>
              </w:rPr>
              <w:t>Регламент (ЕС) 2020/741</w:t>
            </w:r>
            <w:r w:rsidR="001A5F4E" w:rsidRPr="002D2461">
              <w:t xml:space="preserve"> </w:t>
            </w:r>
            <w:r w:rsidR="001A5F4E">
              <w:t xml:space="preserve">има за </w:t>
            </w:r>
            <w:r w:rsidR="001479BD">
              <w:t xml:space="preserve">основана </w:t>
            </w:r>
            <w:r w:rsidR="001A5F4E">
              <w:t xml:space="preserve">цел </w:t>
            </w:r>
            <w:r w:rsidR="001A5F4E" w:rsidRPr="008B04F1">
              <w:rPr>
                <w:i/>
              </w:rPr>
              <w:t xml:space="preserve">да </w:t>
            </w:r>
            <w:r w:rsidR="001A5F4E">
              <w:rPr>
                <w:i/>
              </w:rPr>
              <w:t xml:space="preserve">се </w:t>
            </w:r>
            <w:r w:rsidR="001A5F4E" w:rsidRPr="008B04F1">
              <w:rPr>
                <w:i/>
              </w:rPr>
              <w:t xml:space="preserve">подпомогне възприемането на практика за повторното използване на водата, когато това е </w:t>
            </w:r>
            <w:r w:rsidR="001A5F4E" w:rsidRPr="001A5F4E">
              <w:rPr>
                <w:b/>
                <w:i/>
              </w:rPr>
              <w:t>подходящо и икономически ефективно</w:t>
            </w:r>
            <w:r w:rsidR="001A5F4E">
              <w:rPr>
                <w:i/>
              </w:rPr>
              <w:t>.</w:t>
            </w:r>
          </w:p>
          <w:p w14:paraId="7606B5A8" w14:textId="5D973070" w:rsidR="008B04F1" w:rsidRDefault="001479BD" w:rsidP="002D2461">
            <w:pPr>
              <w:pStyle w:val="02"/>
            </w:pPr>
            <w:r>
              <w:t>Напомняме, че ц</w:t>
            </w:r>
            <w:r w:rsidR="002D2461">
              <w:t xml:space="preserve">елите трябва да бъдат измерими, така че да стане </w:t>
            </w:r>
            <w:r w:rsidR="0056231E" w:rsidRPr="0056231E">
              <w:t xml:space="preserve">ясно дали </w:t>
            </w:r>
            <w:r w:rsidR="002D2461">
              <w:t xml:space="preserve">повторното използване на водата </w:t>
            </w:r>
            <w:r w:rsidR="0056231E" w:rsidRPr="0056231E">
              <w:t>ще довед</w:t>
            </w:r>
            <w:r w:rsidR="002D2461">
              <w:t>е</w:t>
            </w:r>
            <w:r w:rsidR="0056231E" w:rsidRPr="0056231E">
              <w:t xml:space="preserve"> до някакъв конкретен резултат</w:t>
            </w:r>
            <w:r w:rsidR="008B04F1">
              <w:t xml:space="preserve"> (напр.</w:t>
            </w:r>
            <w:r w:rsidR="001A5F4E">
              <w:t xml:space="preserve"> да се дефинират </w:t>
            </w:r>
            <w:r w:rsidR="008B04F1">
              <w:t xml:space="preserve">цели по отношение на </w:t>
            </w:r>
            <w:r w:rsidR="001A5F4E">
              <w:t xml:space="preserve">недостига на водните ресурси, </w:t>
            </w:r>
            <w:r w:rsidR="008B04F1">
              <w:t xml:space="preserve">качеството на водата; </w:t>
            </w:r>
            <w:r w:rsidR="001A5F4E">
              <w:t>насърчаване на кръговата икономика,</w:t>
            </w:r>
            <w:r w:rsidR="001A5F4E" w:rsidRPr="008B04F1">
              <w:t xml:space="preserve"> </w:t>
            </w:r>
            <w:r w:rsidR="008B04F1" w:rsidRPr="008B04F1">
              <w:t>опазването на околната среда</w:t>
            </w:r>
            <w:r>
              <w:t xml:space="preserve">, </w:t>
            </w:r>
            <w:r w:rsidR="008B04F1" w:rsidRPr="008B04F1">
              <w:t>здравето на хората и животните</w:t>
            </w:r>
            <w:r w:rsidR="001A5F4E">
              <w:t xml:space="preserve"> и др.</w:t>
            </w:r>
            <w:r w:rsidR="002D2461">
              <w:t xml:space="preserve"> </w:t>
            </w:r>
          </w:p>
          <w:p w14:paraId="28B5A9A8" w14:textId="1E958EC5" w:rsidR="00756E85" w:rsidRDefault="00756E85" w:rsidP="00F24C50">
            <w:pPr>
              <w:pStyle w:val="Heading1"/>
              <w:outlineLvl w:val="0"/>
            </w:pPr>
            <w:r w:rsidRPr="00756E85">
              <w:t xml:space="preserve">Относно </w:t>
            </w:r>
            <w:r w:rsidRPr="00F24C50">
              <w:t>раздел</w:t>
            </w:r>
            <w:r w:rsidRPr="00756E85">
              <w:t xml:space="preserve"> 3 „Заинтересовани страни”</w:t>
            </w:r>
          </w:p>
          <w:p w14:paraId="463886C1" w14:textId="3A5FAD5C" w:rsidR="005E1EC5" w:rsidRDefault="008E76E1" w:rsidP="00F50649">
            <w:pPr>
              <w:pStyle w:val="02"/>
            </w:pPr>
            <w:r>
              <w:t xml:space="preserve">Необходимо е да се </w:t>
            </w:r>
            <w:r w:rsidR="00756E85" w:rsidRPr="00756E85">
              <w:t xml:space="preserve">посочи </w:t>
            </w:r>
            <w:r w:rsidR="00756E85" w:rsidRPr="00F50649">
              <w:t>бро</w:t>
            </w:r>
            <w:r w:rsidR="005E1EC5">
              <w:t>ят</w:t>
            </w:r>
            <w:r w:rsidR="00756E85" w:rsidRPr="00756E85">
              <w:t xml:space="preserve"> на</w:t>
            </w:r>
            <w:r w:rsidR="001479BD">
              <w:t xml:space="preserve"> пряко засегнатите </w:t>
            </w:r>
            <w:r w:rsidR="001479BD" w:rsidRPr="00756E85">
              <w:t xml:space="preserve">от </w:t>
            </w:r>
            <w:r w:rsidR="001479BD">
              <w:t xml:space="preserve">предлаганите нормативни промени: </w:t>
            </w:r>
            <w:r w:rsidR="001A5F4E">
              <w:t>операт</w:t>
            </w:r>
            <w:r w:rsidR="005E1EC5">
              <w:t>орите</w:t>
            </w:r>
            <w:r w:rsidR="00D104D1">
              <w:t xml:space="preserve"> </w:t>
            </w:r>
            <w:r w:rsidR="001A5F4E" w:rsidRPr="001A5F4E">
              <w:t>на съоръжения за допречистване</w:t>
            </w:r>
            <w:r w:rsidR="001479BD">
              <w:t xml:space="preserve">; </w:t>
            </w:r>
            <w:r w:rsidR="001A5F4E" w:rsidRPr="001A5F4E">
              <w:t>ВиК оператори</w:t>
            </w:r>
            <w:r w:rsidR="001479BD">
              <w:t xml:space="preserve">те; </w:t>
            </w:r>
            <w:r w:rsidR="00971A88">
              <w:t xml:space="preserve">регистрираните </w:t>
            </w:r>
            <w:r w:rsidR="005E1EC5">
              <w:t>земеделск</w:t>
            </w:r>
            <w:r w:rsidR="00971A88">
              <w:t>и</w:t>
            </w:r>
            <w:r w:rsidR="005E1EC5">
              <w:t xml:space="preserve"> стопани</w:t>
            </w:r>
            <w:r w:rsidR="00971A88">
              <w:t xml:space="preserve"> и</w:t>
            </w:r>
            <w:r w:rsidR="00144BE6">
              <w:t xml:space="preserve"> </w:t>
            </w:r>
            <w:r w:rsidR="005E1EC5" w:rsidRPr="005E1EC5">
              <w:t>еднолични</w:t>
            </w:r>
            <w:r w:rsidR="005E1EC5">
              <w:t>те</w:t>
            </w:r>
            <w:r w:rsidR="005E1EC5" w:rsidRPr="005E1EC5">
              <w:t xml:space="preserve"> търговци</w:t>
            </w:r>
            <w:r w:rsidR="001479BD">
              <w:t xml:space="preserve">. Също така да се изясни </w:t>
            </w:r>
            <w:r w:rsidR="005E1EC5" w:rsidRPr="009B4F44">
              <w:t xml:space="preserve">по какъв начин ще бъдат засегнати </w:t>
            </w:r>
            <w:r w:rsidR="005E1EC5" w:rsidRPr="005E1EC5">
              <w:t>Министерство на регионалното развитие и благоустройството, Министерство на земеделието и храните и Министерство на здра</w:t>
            </w:r>
            <w:r w:rsidR="001479BD">
              <w:t>веопазването и органите</w:t>
            </w:r>
            <w:r w:rsidR="00695821">
              <w:t xml:space="preserve"> към тях, за да стане ясно </w:t>
            </w:r>
            <w:r w:rsidR="001479BD" w:rsidRPr="001479BD">
              <w:t xml:space="preserve">създават ли се нови задължения за </w:t>
            </w:r>
            <w:r w:rsidR="00695821">
              <w:t>тях</w:t>
            </w:r>
            <w:r w:rsidR="001479BD" w:rsidRPr="001479BD">
              <w:t>, отпадат ли сега действащи такива и изобщо какво ще се уреди със за</w:t>
            </w:r>
            <w:r w:rsidR="00695821">
              <w:t xml:space="preserve">кона. </w:t>
            </w:r>
          </w:p>
          <w:p w14:paraId="333EA158" w14:textId="4B873573" w:rsidR="00FA7496" w:rsidRPr="004563F6" w:rsidRDefault="00FA7496" w:rsidP="00F24C50">
            <w:pPr>
              <w:pStyle w:val="Heading1"/>
              <w:outlineLvl w:val="0"/>
            </w:pPr>
            <w:r w:rsidRPr="004563F6">
              <w:t>Относно раздел 4 „Варианти на действие“:</w:t>
            </w:r>
          </w:p>
          <w:p w14:paraId="180EFAEB" w14:textId="716022AE" w:rsidR="00A4011C" w:rsidRDefault="00A4011C" w:rsidP="00756E85">
            <w:pPr>
              <w:pStyle w:val="02"/>
            </w:pPr>
            <w:r>
              <w:lastRenderedPageBreak/>
              <w:t xml:space="preserve">Предлаганите варианти на действие трябва да бъдат детайлно изложени в частта </w:t>
            </w:r>
            <w:r w:rsidRPr="00A4011C">
              <w:rPr>
                <w:i/>
              </w:rPr>
              <w:t>„Описание</w:t>
            </w:r>
            <w:r>
              <w:t xml:space="preserve">“. </w:t>
            </w:r>
            <w:r w:rsidR="00E84E2C">
              <w:t>Във</w:t>
            </w:r>
            <w:r w:rsidRPr="00A4011C">
              <w:t xml:space="preserve"> </w:t>
            </w:r>
            <w:r w:rsidRPr="00A4011C">
              <w:rPr>
                <w:i/>
              </w:rPr>
              <w:t>Вариант 1 „Без действие“</w:t>
            </w:r>
            <w:r w:rsidRPr="00A4011C">
              <w:t xml:space="preserve"> е необходимо да се </w:t>
            </w:r>
            <w:r w:rsidR="00E84E2C">
              <w:t>опишат</w:t>
            </w:r>
            <w:r w:rsidRPr="00A4011C">
              <w:t xml:space="preserve"> подробно всичките негативни тенденции, които ще продължат да се наблюдават или ще се задълбочат, ако не се предприемат никакви действия</w:t>
            </w:r>
            <w:r>
              <w:t xml:space="preserve"> по отношение на проблема с намаляване</w:t>
            </w:r>
            <w:r w:rsidR="00695821">
              <w:t>то</w:t>
            </w:r>
            <w:r>
              <w:t xml:space="preserve"> на водните ресурси (освен </w:t>
            </w:r>
            <w:r w:rsidR="00E84E2C">
              <w:t xml:space="preserve">посочените </w:t>
            </w:r>
            <w:r>
              <w:t>санкции за неизпълнение на регламента).</w:t>
            </w:r>
          </w:p>
          <w:p w14:paraId="7E6C08C2" w14:textId="0DAEC292" w:rsidR="00E84E2C" w:rsidRDefault="00F60389" w:rsidP="00756E85">
            <w:pPr>
              <w:pStyle w:val="02"/>
            </w:pPr>
            <w:r>
              <w:t xml:space="preserve">В описанието на </w:t>
            </w:r>
            <w:r w:rsidRPr="00E84E2C">
              <w:rPr>
                <w:i/>
              </w:rPr>
              <w:t>Вариант 2</w:t>
            </w:r>
            <w:r>
              <w:t xml:space="preserve"> трябва </w:t>
            </w:r>
            <w:r w:rsidR="00A4011C">
              <w:t xml:space="preserve">да се </w:t>
            </w:r>
            <w:r>
              <w:t xml:space="preserve">включи информация за предлаганите нормативни промени по отношение на </w:t>
            </w:r>
            <w:r w:rsidRPr="00F60389">
              <w:t>изисквания</w:t>
            </w:r>
            <w:r w:rsidR="00E84E2C">
              <w:t>та</w:t>
            </w:r>
            <w:r w:rsidRPr="00F60389">
              <w:t xml:space="preserve"> </w:t>
            </w:r>
            <w:r>
              <w:t>за</w:t>
            </w:r>
            <w:r w:rsidRPr="00F60389">
              <w:t xml:space="preserve"> каче</w:t>
            </w:r>
            <w:r>
              <w:t xml:space="preserve">ството и мониторинга на водите </w:t>
            </w:r>
            <w:r w:rsidRPr="00F60389">
              <w:t>при повторното използване на пречистени градски отпадъчни води за н</w:t>
            </w:r>
            <w:r>
              <w:t xml:space="preserve">апояване в селското стопанство, </w:t>
            </w:r>
            <w:r w:rsidR="00E84E2C">
              <w:t xml:space="preserve">процедурата по </w:t>
            </w:r>
            <w:r w:rsidRPr="00F60389">
              <w:t>въве</w:t>
            </w:r>
            <w:r>
              <w:t xml:space="preserve">ждането на </w:t>
            </w:r>
            <w:r w:rsidRPr="00F60389">
              <w:t xml:space="preserve">разрешителен режим за повторно използване на вода, </w:t>
            </w:r>
            <w:r>
              <w:t xml:space="preserve">контролните органи, </w:t>
            </w:r>
            <w:r w:rsidRPr="00F60389">
              <w:t>санкции</w:t>
            </w:r>
            <w:r>
              <w:t>те при нарушения и др.</w:t>
            </w:r>
          </w:p>
          <w:p w14:paraId="7537B929" w14:textId="17776C8E" w:rsidR="00E84E2C" w:rsidRDefault="00E84E2C" w:rsidP="00756E85">
            <w:pPr>
              <w:pStyle w:val="02"/>
            </w:pPr>
            <w:r>
              <w:t xml:space="preserve">Конкретно, от изложената информация в приложения </w:t>
            </w:r>
            <w:r w:rsidRPr="00695821">
              <w:rPr>
                <w:b/>
                <w:i/>
              </w:rPr>
              <w:t>проект на ЗИД на Закона за водите</w:t>
            </w:r>
            <w:r w:rsidR="00695821">
              <w:t xml:space="preserve"> и </w:t>
            </w:r>
            <w:r>
              <w:t xml:space="preserve">в оценката на въздействието трябва да се </w:t>
            </w:r>
            <w:r w:rsidR="00971A88">
              <w:t xml:space="preserve">включат и </w:t>
            </w:r>
            <w:r>
              <w:t>изяснят следните въпроси:</w:t>
            </w:r>
          </w:p>
          <w:p w14:paraId="721FAC65" w14:textId="0267CC7F" w:rsidR="0079486E" w:rsidRDefault="00971A88" w:rsidP="00695821">
            <w:pPr>
              <w:pStyle w:val="02"/>
              <w:numPr>
                <w:ilvl w:val="0"/>
                <w:numId w:val="14"/>
              </w:numPr>
              <w:ind w:left="465"/>
            </w:pPr>
            <w:r>
              <w:t>кой е</w:t>
            </w:r>
            <w:r w:rsidR="004E2713">
              <w:t xml:space="preserve"> компетентният орган, който издава разрешително</w:t>
            </w:r>
            <w:r>
              <w:t xml:space="preserve"> за повторното използване на вод</w:t>
            </w:r>
            <w:r w:rsidR="00144BE6">
              <w:t>и за напояване</w:t>
            </w:r>
            <w:r>
              <w:t>;</w:t>
            </w:r>
          </w:p>
          <w:p w14:paraId="18AB73CD" w14:textId="256D87F8" w:rsidR="00971A88" w:rsidRDefault="00971A88" w:rsidP="00695821">
            <w:pPr>
              <w:pStyle w:val="02"/>
              <w:numPr>
                <w:ilvl w:val="0"/>
                <w:numId w:val="14"/>
              </w:numPr>
              <w:ind w:left="465"/>
            </w:pPr>
            <w:r>
              <w:t>каква е процедурата по издаване на разрешителното (необходими документи, срокове, изисквания</w:t>
            </w:r>
            <w:r w:rsidR="00144BE6">
              <w:t xml:space="preserve">, условия и ред за издаване </w:t>
            </w:r>
            <w:r>
              <w:t>и др.);</w:t>
            </w:r>
          </w:p>
          <w:p w14:paraId="4D5E7F7E" w14:textId="0460D6D8" w:rsidR="00144BE6" w:rsidRDefault="00144BE6" w:rsidP="00695821">
            <w:pPr>
              <w:pStyle w:val="02"/>
              <w:numPr>
                <w:ilvl w:val="0"/>
                <w:numId w:val="14"/>
              </w:numPr>
              <w:ind w:left="465"/>
            </w:pPr>
            <w:r>
              <w:t xml:space="preserve">какъв е срокът на действие на разрешителното за </w:t>
            </w:r>
            <w:r w:rsidRPr="00144BE6">
              <w:t>повторно използване на води за напояване</w:t>
            </w:r>
            <w:r>
              <w:t xml:space="preserve"> и как се определя;</w:t>
            </w:r>
          </w:p>
          <w:p w14:paraId="25279033" w14:textId="496AB6A0" w:rsidR="0089361C" w:rsidRDefault="0089361C" w:rsidP="00695821">
            <w:pPr>
              <w:pStyle w:val="02"/>
              <w:numPr>
                <w:ilvl w:val="0"/>
                <w:numId w:val="14"/>
              </w:numPr>
              <w:ind w:left="465"/>
            </w:pPr>
            <w:r>
              <w:t>кога се прекратява действието и кога се отнема разрешителното;</w:t>
            </w:r>
          </w:p>
          <w:p w14:paraId="1DED0320" w14:textId="48A87B77" w:rsidR="0021106D" w:rsidRDefault="0021106D" w:rsidP="00695821">
            <w:pPr>
              <w:pStyle w:val="02"/>
              <w:numPr>
                <w:ilvl w:val="0"/>
                <w:numId w:val="14"/>
              </w:numPr>
              <w:ind w:left="465"/>
            </w:pPr>
            <w:r>
              <w:t>какви са задълженията на л</w:t>
            </w:r>
            <w:r w:rsidRPr="0021106D">
              <w:t>ицата, на които са предоставени права за повторно използване на води</w:t>
            </w:r>
            <w:r w:rsidR="00695821">
              <w:t xml:space="preserve"> за напояване (</w:t>
            </w:r>
            <w:r>
              <w:t>с оглед на увеличаване на административната тежест върху тях</w:t>
            </w:r>
            <w:r w:rsidR="00695821">
              <w:t>)</w:t>
            </w:r>
          </w:p>
          <w:p w14:paraId="605B706A" w14:textId="65AC0D64" w:rsidR="00971A88" w:rsidRDefault="0089361C" w:rsidP="00695821">
            <w:pPr>
              <w:pStyle w:val="02"/>
              <w:numPr>
                <w:ilvl w:val="0"/>
                <w:numId w:val="14"/>
              </w:numPr>
              <w:ind w:left="465"/>
            </w:pPr>
            <w:r>
              <w:t xml:space="preserve">в кои случаи и къде могат да се използват </w:t>
            </w:r>
            <w:r w:rsidRPr="0089361C">
              <w:t>допълнително пречистени</w:t>
            </w:r>
            <w:r>
              <w:t>те</w:t>
            </w:r>
            <w:r w:rsidRPr="0089361C">
              <w:t xml:space="preserve"> отпадъчни води от градски пречиствателни станции</w:t>
            </w:r>
          </w:p>
          <w:p w14:paraId="5A456349" w14:textId="198F821A" w:rsidR="005B1243" w:rsidRDefault="005B1243" w:rsidP="00695821">
            <w:pPr>
              <w:pStyle w:val="02"/>
              <w:numPr>
                <w:ilvl w:val="0"/>
                <w:numId w:val="14"/>
              </w:numPr>
              <w:ind w:left="465"/>
            </w:pPr>
            <w:r>
              <w:t>кой е органът, контролиращ съоръженията за</w:t>
            </w:r>
            <w:r w:rsidRPr="005B1243">
              <w:t xml:space="preserve"> допълнително пречистване на отпадъчни води</w:t>
            </w:r>
            <w:r>
              <w:t xml:space="preserve"> и кой </w:t>
            </w:r>
            <w:r w:rsidR="0021106D">
              <w:t xml:space="preserve">е </w:t>
            </w:r>
            <w:r>
              <w:t>орган</w:t>
            </w:r>
            <w:r w:rsidR="0021106D">
              <w:t xml:space="preserve">ът, </w:t>
            </w:r>
            <w:r>
              <w:t>контролира</w:t>
            </w:r>
            <w:r w:rsidR="0021106D">
              <w:t>щ</w:t>
            </w:r>
            <w:r>
              <w:t xml:space="preserve"> </w:t>
            </w:r>
            <w:r w:rsidRPr="005B1243">
              <w:t>микробиологичните показатели</w:t>
            </w:r>
            <w:r w:rsidR="0021106D">
              <w:t xml:space="preserve"> и </w:t>
            </w:r>
            <w:r w:rsidR="0021106D" w:rsidRPr="0021106D">
              <w:t>качеството на водите преди използването им за напояване</w:t>
            </w:r>
          </w:p>
          <w:p w14:paraId="74CE706A" w14:textId="07A736FA" w:rsidR="0021106D" w:rsidRDefault="0021106D" w:rsidP="00695821">
            <w:pPr>
              <w:pStyle w:val="02"/>
              <w:numPr>
                <w:ilvl w:val="0"/>
                <w:numId w:val="14"/>
              </w:numPr>
              <w:ind w:left="465"/>
            </w:pPr>
            <w:r>
              <w:t xml:space="preserve">кои проекти се определят като </w:t>
            </w:r>
            <w:r w:rsidRPr="00971A88">
              <w:rPr>
                <w:i/>
              </w:rPr>
              <w:t>изследователски или пилотни проекти</w:t>
            </w:r>
            <w:r>
              <w:rPr>
                <w:i/>
              </w:rPr>
              <w:t xml:space="preserve"> и </w:t>
            </w:r>
            <w:r>
              <w:t>как се регламентира тяхната дейност и др.</w:t>
            </w:r>
          </w:p>
          <w:p w14:paraId="22F144A2" w14:textId="59C84B5B" w:rsidR="002A5E1D" w:rsidRDefault="00047FB0" w:rsidP="000873AE">
            <w:pPr>
              <w:pStyle w:val="02"/>
            </w:pPr>
            <w:r w:rsidRPr="00047FB0">
              <w:t>Предвид</w:t>
            </w:r>
            <w:r w:rsidRPr="006C1E5E">
              <w:t xml:space="preserve"> обстоятелството, че се предлага уредба на дейността на </w:t>
            </w:r>
            <w:r>
              <w:t>нов</w:t>
            </w:r>
            <w:r w:rsidRPr="007D2055">
              <w:t xml:space="preserve"> електронен регистър</w:t>
            </w:r>
            <w:r>
              <w:t xml:space="preserve">, който </w:t>
            </w:r>
            <w:r w:rsidRPr="00047FB0">
              <w:rPr>
                <w:i/>
              </w:rPr>
              <w:t>министъра на земеделието и храните или оправомощено от него длъжностно лице ще води за извършената контролна дейност по разрешителните и решенията за проектите за повторно ползване на водите по чл. 45.</w:t>
            </w:r>
            <w:r>
              <w:t>, следва във</w:t>
            </w:r>
            <w:r w:rsidRPr="006C1E5E">
              <w:t xml:space="preserve"> </w:t>
            </w:r>
            <w:r w:rsidRPr="00271918">
              <w:rPr>
                <w:i/>
              </w:rPr>
              <w:t>Вариант 2</w:t>
            </w:r>
            <w:r w:rsidRPr="006C1E5E">
              <w:t xml:space="preserve"> да се включи информация относно уреждането на дейността на регистъра, </w:t>
            </w:r>
            <w:r>
              <w:t xml:space="preserve">конкретните ангажименти на МЗХ, възможността за </w:t>
            </w:r>
            <w:r w:rsidRPr="006C1E5E">
              <w:t>неговото администриране</w:t>
            </w:r>
            <w:r>
              <w:t xml:space="preserve">, </w:t>
            </w:r>
            <w:r w:rsidRPr="006C1E5E">
              <w:t>свързаност с други регистри</w:t>
            </w:r>
            <w:r>
              <w:t xml:space="preserve"> и т.н.</w:t>
            </w:r>
          </w:p>
          <w:p w14:paraId="698B7B52" w14:textId="73010CDE" w:rsidR="002A5E1D" w:rsidRDefault="002A5E1D" w:rsidP="00047FB0">
            <w:pPr>
              <w:pStyle w:val="02"/>
              <w:rPr>
                <w:rFonts w:cstheme="minorHAnsi"/>
              </w:rPr>
            </w:pPr>
            <w:r w:rsidRPr="004B481E">
              <w:rPr>
                <w:rFonts w:cstheme="minorHAnsi"/>
              </w:rPr>
              <w:t>Предлагаме да се обмисли възможността вместо да бъд</w:t>
            </w:r>
            <w:r w:rsidR="00695821">
              <w:rPr>
                <w:rFonts w:cstheme="minorHAnsi"/>
              </w:rPr>
              <w:t xml:space="preserve">ат </w:t>
            </w:r>
            <w:r w:rsidRPr="004B481E">
              <w:rPr>
                <w:rFonts w:cstheme="minorHAnsi"/>
              </w:rPr>
              <w:t>създаван</w:t>
            </w:r>
            <w:r w:rsidR="00695821">
              <w:rPr>
                <w:rFonts w:cstheme="minorHAnsi"/>
              </w:rPr>
              <w:t>и</w:t>
            </w:r>
            <w:r w:rsidRPr="004B481E">
              <w:rPr>
                <w:rFonts w:cstheme="minorHAnsi"/>
              </w:rPr>
              <w:t xml:space="preserve"> нов</w:t>
            </w:r>
            <w:r w:rsidR="00695821">
              <w:rPr>
                <w:rFonts w:cstheme="minorHAnsi"/>
              </w:rPr>
              <w:t>и</w:t>
            </w:r>
            <w:r w:rsidRPr="004B481E">
              <w:rPr>
                <w:rFonts w:cstheme="minorHAnsi"/>
              </w:rPr>
              <w:t xml:space="preserve"> електрон</w:t>
            </w:r>
            <w:r w:rsidR="00695821">
              <w:rPr>
                <w:rFonts w:cstheme="minorHAnsi"/>
              </w:rPr>
              <w:t xml:space="preserve">ни </w:t>
            </w:r>
            <w:r w:rsidRPr="004B481E">
              <w:rPr>
                <w:rFonts w:cstheme="minorHAnsi"/>
              </w:rPr>
              <w:t>регист</w:t>
            </w:r>
            <w:r w:rsidR="00695821">
              <w:rPr>
                <w:rFonts w:cstheme="minorHAnsi"/>
              </w:rPr>
              <w:t>ри</w:t>
            </w:r>
            <w:r w:rsidRPr="004B481E">
              <w:rPr>
                <w:rFonts w:cstheme="minorHAnsi"/>
              </w:rPr>
              <w:t xml:space="preserve">, ако е възможно и приложимо, да бъдат използвани техническите възможности и бази данни на </w:t>
            </w:r>
            <w:r w:rsidRPr="00B645C0">
              <w:rPr>
                <w:rFonts w:cstheme="minorHAnsi"/>
                <w:b/>
              </w:rPr>
              <w:t>съществуващите такива към момента</w:t>
            </w:r>
            <w:r w:rsidRPr="004B481E">
              <w:rPr>
                <w:rFonts w:cstheme="minorHAnsi"/>
              </w:rPr>
              <w:t xml:space="preserve">. Създаването на нов регистър генерира допълнителни разходи и в тази връзка следва да бъдат представени и разходите за това. </w:t>
            </w:r>
            <w:r w:rsidRPr="004B481E">
              <w:rPr>
                <w:rFonts w:cstheme="minorHAnsi"/>
              </w:rPr>
              <w:lastRenderedPageBreak/>
              <w:t xml:space="preserve">Съществено важно е оценката и законопроектът да отчете и по какъв начин този регистър ще се </w:t>
            </w:r>
            <w:r w:rsidRPr="002A5E1D">
              <w:rPr>
                <w:rFonts w:cstheme="minorHAnsi"/>
              </w:rPr>
              <w:t>включи в националната регистрова инфраструктура</w:t>
            </w:r>
            <w:r>
              <w:rPr>
                <w:rFonts w:cstheme="minorHAnsi"/>
              </w:rPr>
              <w:t>.</w:t>
            </w:r>
          </w:p>
          <w:p w14:paraId="355AD81C" w14:textId="411279D4" w:rsidR="00EB4ABE" w:rsidRPr="002A5E1D" w:rsidRDefault="00EB4ABE" w:rsidP="00047FB0">
            <w:pPr>
              <w:pStyle w:val="02"/>
            </w:pPr>
            <w:r w:rsidRPr="00EB4ABE">
              <w:t>Предвид че се предви</w:t>
            </w:r>
            <w:r>
              <w:t xml:space="preserve">ждат </w:t>
            </w:r>
            <w:r w:rsidR="00695821">
              <w:t xml:space="preserve">и </w:t>
            </w:r>
            <w:r>
              <w:t>административни наказания</w:t>
            </w:r>
            <w:r w:rsidR="00695821">
              <w:t>,</w:t>
            </w:r>
            <w:r>
              <w:t xml:space="preserve"> необходимо е да се опише </w:t>
            </w:r>
            <w:r w:rsidRPr="00EB4ABE">
              <w:t>механизма за квалифициране на нарушенията</w:t>
            </w:r>
            <w:r w:rsidR="00653C37">
              <w:t xml:space="preserve">, </w:t>
            </w:r>
            <w:r w:rsidRPr="00EB4ABE">
              <w:t>размера на санкциите</w:t>
            </w:r>
            <w:r w:rsidR="00653C37">
              <w:t xml:space="preserve">, </w:t>
            </w:r>
            <w:r w:rsidR="00653C37" w:rsidRPr="00653C37">
              <w:t>органите, на които ще бъде възложена функцията по контрол и налагане на административни</w:t>
            </w:r>
            <w:r w:rsidR="00653C37">
              <w:t>те</w:t>
            </w:r>
            <w:r w:rsidR="00653C37" w:rsidRPr="00653C37">
              <w:t xml:space="preserve"> наказания</w:t>
            </w:r>
            <w:r w:rsidR="00653C37">
              <w:t xml:space="preserve"> при установени нарушения.</w:t>
            </w:r>
          </w:p>
          <w:p w14:paraId="437BDAD4" w14:textId="77777777" w:rsidR="0089361C" w:rsidRPr="00F24C50" w:rsidRDefault="0089361C" w:rsidP="0089361C">
            <w:pPr>
              <w:pStyle w:val="Heading1"/>
              <w:numPr>
                <w:ilvl w:val="0"/>
                <w:numId w:val="0"/>
              </w:numPr>
              <w:ind w:left="851"/>
              <w:outlineLvl w:val="0"/>
            </w:pPr>
            <w:r w:rsidRPr="00F24C50">
              <w:t>Относно Анализа на въздействията</w:t>
            </w:r>
          </w:p>
          <w:p w14:paraId="400A34A9" w14:textId="0C71714F" w:rsidR="00653C37" w:rsidRDefault="00F50649" w:rsidP="00653C37">
            <w:pPr>
              <w:pStyle w:val="02"/>
            </w:pPr>
            <w:r w:rsidRPr="004563F6">
              <w:t xml:space="preserve">Обръщаме внимание, че анализът на въздействията представлява оценяването им спрямо текущото състояние в качествено, </w:t>
            </w:r>
            <w:r w:rsidRPr="00756E85">
              <w:t>количествено</w:t>
            </w:r>
            <w:r w:rsidRPr="004563F6">
              <w:t xml:space="preserve"> или парично изражение. Ако количествената оценка е невъзможна или неефективна следва да се поясни защо. </w:t>
            </w:r>
            <w:r w:rsidR="000873AE">
              <w:t xml:space="preserve">Следва да се посочат </w:t>
            </w:r>
            <w:r w:rsidR="00680D75" w:rsidRPr="004563F6">
              <w:t>положителните въздействия (ползите) и отрицателните въздействия (разходите) за в</w:t>
            </w:r>
            <w:r w:rsidR="00C93AA3" w:rsidRPr="004563F6">
              <w:t>сяка заинтересована страна.</w:t>
            </w:r>
          </w:p>
          <w:p w14:paraId="2409A55A" w14:textId="0D117EC0" w:rsidR="00653C37" w:rsidRDefault="00653C37" w:rsidP="00653C37">
            <w:pPr>
              <w:pStyle w:val="02"/>
            </w:pPr>
            <w:r w:rsidRPr="00653C37">
              <w:t xml:space="preserve">Идентифицирането на въздействията минава през отговори на въпроси от </w:t>
            </w:r>
            <w:r w:rsidRPr="00653C37">
              <w:rPr>
                <w:i/>
              </w:rPr>
              <w:t>Ръководството</w:t>
            </w:r>
            <w:r w:rsidRPr="00653C37">
              <w:t xml:space="preserve"> (стр. 28 – 37)</w:t>
            </w:r>
          </w:p>
          <w:p w14:paraId="0A89F7C6" w14:textId="6F6FE973" w:rsidR="00C04C60" w:rsidRPr="004563F6" w:rsidRDefault="00C04C60" w:rsidP="00F24C50">
            <w:pPr>
              <w:pStyle w:val="Heading1"/>
              <w:outlineLvl w:val="0"/>
            </w:pPr>
            <w:r w:rsidRPr="004563F6">
              <w:t xml:space="preserve">Относно </w:t>
            </w:r>
            <w:r w:rsidRPr="00F24C50">
              <w:t>раздел</w:t>
            </w:r>
            <w:r w:rsidRPr="004563F6">
              <w:t xml:space="preserve"> 5 „</w:t>
            </w:r>
            <w:r w:rsidRPr="00F24C50">
              <w:t>Сравняване</w:t>
            </w:r>
            <w:r w:rsidRPr="004563F6">
              <w:t xml:space="preserve"> на вариантите“:</w:t>
            </w:r>
          </w:p>
          <w:p w14:paraId="5341EB18" w14:textId="69E8D00D" w:rsidR="00637F0F" w:rsidRPr="004563F6" w:rsidRDefault="00637F0F" w:rsidP="00F50649">
            <w:pPr>
              <w:pStyle w:val="02"/>
              <w:rPr>
                <w:rFonts w:eastAsia="Times New Roman"/>
                <w:b/>
              </w:rPr>
            </w:pPr>
            <w:r w:rsidRPr="004563F6">
              <w:t>Предвид препоръките по раздел 2 следва да се изготви таблицата в съответ</w:t>
            </w:r>
            <w:r w:rsidR="00F50649">
              <w:t>ствие с ново формулираните цели, като з</w:t>
            </w:r>
            <w:r w:rsidRPr="004563F6">
              <w:t>а по-голяма прегледност предлагаме да отпадне текста, дефиниращ самите цели.</w:t>
            </w:r>
          </w:p>
          <w:p w14:paraId="41FA6BBC" w14:textId="77777777" w:rsidR="00F24C50" w:rsidRDefault="00F24C50" w:rsidP="00F24C50">
            <w:pPr>
              <w:pStyle w:val="Heading1"/>
              <w:outlineLvl w:val="0"/>
            </w:pPr>
            <w:r>
              <w:t>Относно подраздел 6.1 „Промяна в административната тежест …….:“</w:t>
            </w:r>
          </w:p>
          <w:p w14:paraId="266654CA" w14:textId="610C1179" w:rsidR="00281656" w:rsidRPr="00281656" w:rsidRDefault="00A2398C" w:rsidP="00281656">
            <w:pPr>
              <w:pStyle w:val="02"/>
            </w:pPr>
            <w:r>
              <w:t>Напомняме, че а</w:t>
            </w:r>
            <w:r w:rsidRPr="00A2398C">
              <w:t>дминистративна</w:t>
            </w:r>
            <w:r>
              <w:t>та</w:t>
            </w:r>
            <w:r w:rsidRPr="00A2398C">
              <w:t xml:space="preserve"> тежест представлява всички разходи, които се налагат върху бизнеса във връзка със съобразяване с информационни задължения, които произлизат от пра</w:t>
            </w:r>
            <w:r>
              <w:t xml:space="preserve">вителствената политика и в тази връзка </w:t>
            </w:r>
            <w:r w:rsidR="00830DAC">
              <w:t xml:space="preserve">в оценката </w:t>
            </w:r>
            <w:r>
              <w:t xml:space="preserve">се оценяват въздействията </w:t>
            </w:r>
            <w:r w:rsidR="00281656">
              <w:t xml:space="preserve">само </w:t>
            </w:r>
            <w:r>
              <w:t>върху засегнатите страни</w:t>
            </w:r>
            <w:r w:rsidR="00281656">
              <w:t xml:space="preserve"> - в</w:t>
            </w:r>
            <w:r>
              <w:t xml:space="preserve"> случая </w:t>
            </w:r>
            <w:r w:rsidRPr="00A2398C">
              <w:rPr>
                <w:rFonts w:eastAsia="Times New Roman"/>
              </w:rPr>
              <w:t>лицата, имащи стопански интерес към осъществяване на дейността.</w:t>
            </w:r>
            <w:r>
              <w:rPr>
                <w:rFonts w:eastAsia="Times New Roman"/>
              </w:rPr>
              <w:t xml:space="preserve"> </w:t>
            </w:r>
            <w:r w:rsidR="00830DAC">
              <w:rPr>
                <w:rFonts w:eastAsia="Times New Roman"/>
              </w:rPr>
              <w:t>В тази връзка м</w:t>
            </w:r>
            <w:r w:rsidR="00F24C50">
              <w:t xml:space="preserve">аркираното твърдение „няма ефект“ </w:t>
            </w:r>
            <w:r>
              <w:t xml:space="preserve">следва да се коригира </w:t>
            </w:r>
            <w:r w:rsidR="00281656">
              <w:t>п</w:t>
            </w:r>
            <w:r w:rsidRPr="00A2398C">
              <w:t xml:space="preserve">редвид </w:t>
            </w:r>
            <w:r w:rsidR="00281656" w:rsidRPr="00EB4ABE">
              <w:t xml:space="preserve">създаването </w:t>
            </w:r>
            <w:r w:rsidR="00281656">
              <w:t xml:space="preserve">и </w:t>
            </w:r>
            <w:r w:rsidR="00281656" w:rsidRPr="00EB4ABE">
              <w:t xml:space="preserve">на </w:t>
            </w:r>
            <w:r w:rsidR="00281656">
              <w:t xml:space="preserve">нови </w:t>
            </w:r>
            <w:r w:rsidR="00281656" w:rsidRPr="00EB4ABE">
              <w:t>регист</w:t>
            </w:r>
            <w:r w:rsidR="00281656">
              <w:t>ри, въвеждане</w:t>
            </w:r>
            <w:r w:rsidR="00281656" w:rsidRPr="00A2398C">
              <w:t xml:space="preserve"> на нов</w:t>
            </w:r>
            <w:r w:rsidR="00281656">
              <w:t>и</w:t>
            </w:r>
            <w:r w:rsidR="00281656" w:rsidRPr="00A2398C">
              <w:t xml:space="preserve"> регулатор</w:t>
            </w:r>
            <w:r w:rsidR="00281656">
              <w:t xml:space="preserve">ни </w:t>
            </w:r>
            <w:r w:rsidR="00281656" w:rsidRPr="00A2398C">
              <w:t>режим</w:t>
            </w:r>
            <w:r w:rsidR="00281656">
              <w:t xml:space="preserve">и, което несъмнено води до </w:t>
            </w:r>
            <w:r w:rsidR="00281656" w:rsidRPr="00EB4ABE">
              <w:t>увеличава</w:t>
            </w:r>
            <w:r w:rsidR="00281656">
              <w:t>не на</w:t>
            </w:r>
            <w:r w:rsidR="00281656" w:rsidRPr="00EB4ABE">
              <w:t xml:space="preserve"> </w:t>
            </w:r>
            <w:r w:rsidR="00281656">
              <w:t xml:space="preserve">административната тежест. </w:t>
            </w:r>
            <w:r w:rsidR="00CF70F0">
              <w:t xml:space="preserve">С оглед на това </w:t>
            </w:r>
            <w:r w:rsidR="00281656">
              <w:t>следва</w:t>
            </w:r>
            <w:r w:rsidR="00CF70F0">
              <w:t xml:space="preserve"> в този раздел </w:t>
            </w:r>
            <w:r w:rsidR="00281656" w:rsidRPr="00281656">
              <w:t>да се посочи потенциалн</w:t>
            </w:r>
            <w:r w:rsidR="00CF70F0">
              <w:t>ия обхват на засегнатите страни</w:t>
            </w:r>
            <w:r w:rsidR="00830DAC">
              <w:t xml:space="preserve">, за да </w:t>
            </w:r>
            <w:r w:rsidR="00281656" w:rsidRPr="00281656">
              <w:t xml:space="preserve">се изчисли административната тежест, която ще </w:t>
            </w:r>
            <w:r w:rsidR="00CF70F0">
              <w:t xml:space="preserve">им </w:t>
            </w:r>
            <w:r w:rsidR="00830DAC">
              <w:t xml:space="preserve">бъде създадена. За тази цел се използва </w:t>
            </w:r>
            <w:hyperlink r:id="rId12" w:history="1">
              <w:r w:rsidR="00830DAC">
                <w:rPr>
                  <w:rStyle w:val="Hyperlink"/>
                  <w:b/>
                  <w:i/>
                </w:rPr>
                <w:t>Калкулатор</w:t>
              </w:r>
              <w:r w:rsidR="00281656" w:rsidRPr="00281656">
                <w:rPr>
                  <w:rStyle w:val="Hyperlink"/>
                  <w:b/>
                  <w:i/>
                </w:rPr>
                <w:t xml:space="preserve"> на административна тежест</w:t>
              </w:r>
            </w:hyperlink>
            <w:r w:rsidR="00830DAC">
              <w:t xml:space="preserve"> и </w:t>
            </w:r>
            <w:r w:rsidR="00281656" w:rsidRPr="00281656">
              <w:t>се представ</w:t>
            </w:r>
            <w:r w:rsidR="00830DAC">
              <w:t xml:space="preserve">ят в приблизителни количествени, а при възможност и в </w:t>
            </w:r>
            <w:r w:rsidR="00281656" w:rsidRPr="00281656">
              <w:t>парични стойности</w:t>
            </w:r>
            <w:r w:rsidR="00830DAC">
              <w:t>, очакваните</w:t>
            </w:r>
            <w:r w:rsidR="00281656" w:rsidRPr="00281656">
              <w:t xml:space="preserve"> разходи за </w:t>
            </w:r>
            <w:r w:rsidR="00281656">
              <w:t>земеделски</w:t>
            </w:r>
            <w:r w:rsidR="00151510">
              <w:t>те</w:t>
            </w:r>
            <w:r w:rsidR="00281656">
              <w:t xml:space="preserve"> стопани и еднолични</w:t>
            </w:r>
            <w:r w:rsidR="00281656" w:rsidRPr="00281656">
              <w:t xml:space="preserve"> търговци</w:t>
            </w:r>
            <w:r w:rsidR="00281656">
              <w:t>.</w:t>
            </w:r>
          </w:p>
          <w:p w14:paraId="54DDA1E0" w14:textId="1A7E0DF0" w:rsidR="00A2398C" w:rsidRDefault="00151510" w:rsidP="00151510">
            <w:pPr>
              <w:pStyle w:val="Heading1"/>
              <w:outlineLvl w:val="0"/>
            </w:pPr>
            <w:r w:rsidRPr="00151510">
              <w:t>Относно подраздел 6.2. „Създават ли се нови/засягат ли се съществуващи регулаторни?“</w:t>
            </w:r>
          </w:p>
          <w:p w14:paraId="19777554" w14:textId="51036F9F" w:rsidR="00AB78AB" w:rsidRPr="005A1445" w:rsidRDefault="00787834" w:rsidP="003F638D">
            <w:pPr>
              <w:pStyle w:val="02"/>
              <w:rPr>
                <w:i/>
              </w:rPr>
            </w:pPr>
            <w:r>
              <w:t xml:space="preserve">Посочено е, че са </w:t>
            </w:r>
            <w:r w:rsidR="00830DAC">
              <w:t xml:space="preserve">налице </w:t>
            </w:r>
            <w:r>
              <w:t xml:space="preserve">мотиви за </w:t>
            </w:r>
            <w:r w:rsidRPr="00122B5C">
              <w:t>създаването на новия регулаторен режим</w:t>
            </w:r>
            <w:r>
              <w:t xml:space="preserve">, </w:t>
            </w:r>
            <w:r w:rsidRPr="00122B5C">
              <w:t>съгласн</w:t>
            </w:r>
            <w:r>
              <w:t xml:space="preserve">о изискванията на чл. 3, ал. 4 </w:t>
            </w:r>
            <w:r w:rsidRPr="00122B5C">
              <w:t xml:space="preserve">от </w:t>
            </w:r>
            <w:r w:rsidRPr="00787834">
              <w:rPr>
                <w:i/>
              </w:rPr>
              <w:t>Закона за ограничаване на административното регулиране и административния контрол върху стопанската дейност</w:t>
            </w:r>
            <w:r w:rsidR="005A1445">
              <w:t xml:space="preserve">. </w:t>
            </w:r>
            <w:r w:rsidR="00830DAC">
              <w:t>Обръщаме внимание, че тези мотиви</w:t>
            </w:r>
            <w:r w:rsidR="005A1445">
              <w:t xml:space="preserve"> </w:t>
            </w:r>
            <w:r>
              <w:t xml:space="preserve">следва да бъдат включени </w:t>
            </w:r>
            <w:r w:rsidR="00830DAC">
              <w:t xml:space="preserve">в оценката и също така </w:t>
            </w:r>
            <w:r>
              <w:t>да се аргументира твърдението, че п</w:t>
            </w:r>
            <w:r w:rsidRPr="00787834">
              <w:t xml:space="preserve">редложения нов регулаторен режим отговаря на изискванията на чл. 10 – 12 от </w:t>
            </w:r>
            <w:r w:rsidRPr="005A1445">
              <w:rPr>
                <w:i/>
              </w:rPr>
              <w:t>Закона за дейностите по предоставяне на услуги</w:t>
            </w:r>
            <w:r>
              <w:t xml:space="preserve"> и по-конкретно </w:t>
            </w:r>
            <w:r w:rsidR="005A1445">
              <w:t>за чл. 11. ал. 5</w:t>
            </w:r>
            <w:r>
              <w:t xml:space="preserve">, когато </w:t>
            </w:r>
            <w:r w:rsidRPr="005A1445">
              <w:rPr>
                <w:i/>
              </w:rPr>
              <w:t xml:space="preserve">определени обстоятелства са удостоверени от друг орган на територията на Република България, </w:t>
            </w:r>
            <w:r w:rsidRPr="005A1445">
              <w:rPr>
                <w:i/>
              </w:rPr>
              <w:lastRenderedPageBreak/>
              <w:t>компетентният орган не може да изисква доказването им от доставчика, а е длъжен служебно да ги събере.</w:t>
            </w:r>
          </w:p>
          <w:p w14:paraId="6E5558B1" w14:textId="26D51751" w:rsidR="00151510" w:rsidRDefault="005A1445" w:rsidP="005A1445">
            <w:pPr>
              <w:pStyle w:val="Heading1"/>
              <w:outlineLvl w:val="0"/>
            </w:pPr>
            <w:r w:rsidRPr="005A1445">
              <w:t xml:space="preserve">Относно подраздел 6.3. </w:t>
            </w:r>
            <w:r>
              <w:t>„</w:t>
            </w:r>
            <w:r w:rsidRPr="005A1445">
              <w:t>Създават ли се нови регистри от прилагането на препоръчителния вариант</w:t>
            </w:r>
            <w:r>
              <w:t>?“</w:t>
            </w:r>
            <w:r w:rsidRPr="005A1445">
              <w:t xml:space="preserve"> </w:t>
            </w:r>
          </w:p>
          <w:p w14:paraId="1D049606" w14:textId="35F39D6F" w:rsidR="00151510" w:rsidRDefault="00D930EA" w:rsidP="003F638D">
            <w:pPr>
              <w:pStyle w:val="02"/>
            </w:pPr>
            <w:r>
              <w:t>В</w:t>
            </w:r>
            <w:r w:rsidR="005A1445">
              <w:t xml:space="preserve"> този подраздел </w:t>
            </w:r>
            <w:r>
              <w:t xml:space="preserve">следва </w:t>
            </w:r>
            <w:r w:rsidR="005A1445">
              <w:t xml:space="preserve">да се поясни </w:t>
            </w:r>
            <w:r w:rsidRPr="005A1445">
              <w:t>по какъв начин ще бъдат интегрирани в общата регистрова инфраструктура</w:t>
            </w:r>
            <w:r>
              <w:t xml:space="preserve"> </w:t>
            </w:r>
            <w:r w:rsidR="005A1445">
              <w:t xml:space="preserve">двата </w:t>
            </w:r>
            <w:r w:rsidR="005A1445" w:rsidRPr="005A1445">
              <w:t>регист</w:t>
            </w:r>
            <w:r w:rsidR="005A1445">
              <w:t>ъра</w:t>
            </w:r>
            <w:r w:rsidR="005A1445" w:rsidRPr="005A1445">
              <w:t>, които се създават.</w:t>
            </w:r>
          </w:p>
          <w:p w14:paraId="1483EAA8" w14:textId="19B023DE" w:rsidR="005A1445" w:rsidRDefault="005A1445" w:rsidP="005A1445">
            <w:pPr>
              <w:pStyle w:val="Heading1"/>
              <w:outlineLvl w:val="0"/>
            </w:pPr>
            <w:r>
              <w:t>Относно подраздел 6.</w:t>
            </w:r>
            <w:r w:rsidR="00D930EA">
              <w:t>4</w:t>
            </w:r>
            <w:r>
              <w:t xml:space="preserve"> „</w:t>
            </w:r>
            <w:r w:rsidRPr="005A1445">
              <w:t>По какъв начин препоръчителният вариант въздейства върху микро-, малките и средните предприятия (МСП)</w:t>
            </w:r>
            <w:r>
              <w:t>“</w:t>
            </w:r>
          </w:p>
          <w:p w14:paraId="62DE2C44" w14:textId="58E3B941" w:rsidR="00F02D89" w:rsidRDefault="0092337A" w:rsidP="003F638D">
            <w:pPr>
              <w:pStyle w:val="02"/>
            </w:pPr>
            <w:r>
              <w:t>Предвид</w:t>
            </w:r>
            <w:r w:rsidRPr="0092337A">
              <w:t xml:space="preserve"> че в раздел 3 са идентифицирани </w:t>
            </w:r>
            <w:r>
              <w:t xml:space="preserve">като заинтересовани страни </w:t>
            </w:r>
            <w:r w:rsidR="00D930EA">
              <w:t>операторите на съоръжения за допречистване и земеделските стопани (</w:t>
            </w:r>
            <w:r w:rsidR="00D930EA" w:rsidRPr="005E1EC5">
              <w:t>еднолични</w:t>
            </w:r>
            <w:r w:rsidR="00D930EA">
              <w:t>те</w:t>
            </w:r>
            <w:r w:rsidR="00D930EA" w:rsidRPr="005E1EC5">
              <w:t xml:space="preserve"> търговци</w:t>
            </w:r>
            <w:r w:rsidR="00D930EA">
              <w:t>)</w:t>
            </w:r>
            <w:r w:rsidRPr="0092337A">
              <w:t xml:space="preserve">, които </w:t>
            </w:r>
            <w:r w:rsidR="00D930EA" w:rsidRPr="003F679F">
              <w:rPr>
                <w:rFonts w:eastAsia="Times New Roman" w:cstheme="minorHAnsi"/>
              </w:rPr>
              <w:t>ще бъдат пряко за</w:t>
            </w:r>
            <w:r w:rsidR="00D930EA">
              <w:rPr>
                <w:rFonts w:eastAsia="Times New Roman" w:cstheme="minorHAnsi"/>
              </w:rPr>
              <w:t xml:space="preserve">сегнати </w:t>
            </w:r>
            <w:r w:rsidR="00D930EA" w:rsidRPr="003F679F">
              <w:rPr>
                <w:rFonts w:eastAsia="Times New Roman" w:cstheme="minorHAnsi"/>
              </w:rPr>
              <w:t xml:space="preserve">от </w:t>
            </w:r>
            <w:r w:rsidR="00D930EA">
              <w:rPr>
                <w:rFonts w:eastAsia="Times New Roman" w:cstheme="minorHAnsi"/>
              </w:rPr>
              <w:t>нормативните промени,</w:t>
            </w:r>
            <w:r w:rsidR="00D930EA" w:rsidRPr="0092337A">
              <w:t xml:space="preserve"> </w:t>
            </w:r>
            <w:r w:rsidR="00D930EA">
              <w:t xml:space="preserve">и които </w:t>
            </w:r>
            <w:r w:rsidRPr="0092337A">
              <w:t xml:space="preserve">се </w:t>
            </w:r>
            <w:r w:rsidR="00D930EA">
              <w:t>включват в обхвата на микро и</w:t>
            </w:r>
            <w:r w:rsidRPr="0092337A">
              <w:t xml:space="preserve"> малки предприятия, следва </w:t>
            </w:r>
            <w:r w:rsidR="00D930EA">
              <w:t>маркираният отговор</w:t>
            </w:r>
            <w:r w:rsidR="00D930EA" w:rsidRPr="0092337A">
              <w:t xml:space="preserve"> </w:t>
            </w:r>
            <w:r w:rsidRPr="0092337A">
              <w:t>да с</w:t>
            </w:r>
            <w:r>
              <w:t xml:space="preserve">е ревизира, </w:t>
            </w:r>
            <w:r w:rsidR="00D930EA">
              <w:t xml:space="preserve">и </w:t>
            </w:r>
            <w:r>
              <w:t xml:space="preserve">в този </w:t>
            </w:r>
            <w:r w:rsidR="00D930EA">
              <w:t>под</w:t>
            </w:r>
            <w:r>
              <w:t xml:space="preserve">раздел </w:t>
            </w:r>
            <w:r w:rsidRPr="0092337A">
              <w:t xml:space="preserve">да се </w:t>
            </w:r>
            <w:r>
              <w:t xml:space="preserve">опише </w:t>
            </w:r>
            <w:r w:rsidR="00964C28">
              <w:t>предполагаемия ефект върху тях от въвеждането на новия регулаторен режим и налагане на санкции при установени нарушения</w:t>
            </w:r>
            <w:r w:rsidR="00D930EA">
              <w:t>.</w:t>
            </w:r>
          </w:p>
          <w:p w14:paraId="3346CD34" w14:textId="64B32BF5" w:rsidR="00964C28" w:rsidRDefault="00964C28" w:rsidP="003F638D">
            <w:pPr>
              <w:pStyle w:val="0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Напомняме, че </w:t>
            </w:r>
            <w:r w:rsidRPr="00964C28">
              <w:t xml:space="preserve">интересите на МСП </w:t>
            </w:r>
            <w:r>
              <w:t xml:space="preserve">трябва </w:t>
            </w:r>
            <w:r w:rsidRPr="00964C28">
              <w:t xml:space="preserve">да бъдат вземани предвид на най-ранен етап от процеса на разработване на политики и законодателство, за да се постигне създаването на по-благоприятна правна и икономическа </w:t>
            </w:r>
            <w:r>
              <w:t xml:space="preserve">среда за тяхното функциониране. </w:t>
            </w:r>
            <w:r w:rsidR="00830DAC">
              <w:t>По тази причина т</w:t>
            </w:r>
            <w:r>
              <w:t xml:space="preserve">рябва да се </w:t>
            </w:r>
            <w:r w:rsidRPr="00964C28">
              <w:t>измер</w:t>
            </w:r>
            <w:r>
              <w:t xml:space="preserve">ят </w:t>
            </w:r>
            <w:r w:rsidRPr="00964C28">
              <w:t xml:space="preserve">количествено и качествено въздействията върху </w:t>
            </w:r>
            <w:r>
              <w:t>тях</w:t>
            </w:r>
            <w:r w:rsidR="005A22D0">
              <w:t xml:space="preserve">, да </w:t>
            </w:r>
            <w:r>
              <w:t>се установи дали с</w:t>
            </w:r>
            <w:r w:rsidRPr="00964C28">
              <w:t xml:space="preserve">ъществува връзка с други сектори и </w:t>
            </w:r>
            <w:r w:rsidR="005A22D0">
              <w:t xml:space="preserve">дали </w:t>
            </w:r>
            <w:r w:rsidRPr="00964C28">
              <w:t>има възмож</w:t>
            </w:r>
            <w:r w:rsidR="005A22D0">
              <w:t>ни ефекти върху подизпълнители /</w:t>
            </w:r>
            <w:r w:rsidR="00830DAC" w:rsidRPr="00964C28">
              <w:t>като например</w:t>
            </w:r>
            <w:r w:rsidR="00830DAC">
              <w:t xml:space="preserve"> </w:t>
            </w:r>
            <w:r w:rsidR="005A22D0">
              <w:t>поддоставчици</w:t>
            </w:r>
            <w:r w:rsidRPr="00964C28">
              <w:t xml:space="preserve">, </w:t>
            </w:r>
            <w:r w:rsidR="00830DAC">
              <w:t xml:space="preserve">да </w:t>
            </w:r>
            <w:r w:rsidRPr="00964C28">
              <w:t xml:space="preserve">е налице въздействие не само върху целевия сектор, но и спрямо неговите доставчици или </w:t>
            </w:r>
            <w:r>
              <w:t xml:space="preserve">крайни </w:t>
            </w:r>
            <w:r w:rsidRPr="00964C28">
              <w:t>клиенти</w:t>
            </w:r>
            <w:r>
              <w:t>/потребители</w:t>
            </w:r>
            <w:r w:rsidRPr="00964C28">
              <w:t xml:space="preserve"> – </w:t>
            </w:r>
            <w:r w:rsidR="005A22D0">
              <w:t xml:space="preserve">т.е. да се вземат предвид </w:t>
            </w:r>
            <w:r w:rsidRPr="00964C28">
              <w:t>всякакви други възможни косвени въздействия. Измерението МСП в обществените консултации може да бъде уловено и отразено чрез пряко консултиране на МСП или косвено чрез допитване до техните представителни организации.</w:t>
            </w:r>
          </w:p>
          <w:p w14:paraId="47D2CCEA" w14:textId="29654090" w:rsidR="00E93E49" w:rsidRDefault="00E93E49" w:rsidP="00F24C50">
            <w:pPr>
              <w:pStyle w:val="Heading1"/>
              <w:outlineLvl w:val="0"/>
            </w:pPr>
            <w:r>
              <w:t xml:space="preserve">Относно </w:t>
            </w:r>
            <w:r w:rsidRPr="00F24C50">
              <w:t>извършване</w:t>
            </w:r>
            <w:r>
              <w:t xml:space="preserve"> на </w:t>
            </w:r>
            <w:r w:rsidRPr="00F24C50">
              <w:t>последваща</w:t>
            </w:r>
            <w:r>
              <w:t xml:space="preserve"> оценка на въздействието:</w:t>
            </w:r>
          </w:p>
          <w:p w14:paraId="1BEC5775" w14:textId="7D0C1288" w:rsidR="00E93E49" w:rsidRPr="00E93E49" w:rsidRDefault="00E93E49" w:rsidP="00F24C50">
            <w:pPr>
              <w:pStyle w:val="02"/>
            </w:pPr>
            <w:r>
              <w:t xml:space="preserve">За осигуряване на проверката на съотношението между формулираните цели и постигнатите резултати е необходимо в заключителните разпоредби на законопроекта да бъде посочено в какъв срок ще бъде извършена </w:t>
            </w:r>
            <w:r w:rsidRPr="00F24C50">
              <w:t>последваща</w:t>
            </w:r>
            <w:r>
              <w:t xml:space="preserve"> оценка на въздействието на закона и кой е компетентният орган, който ще организира нейното извършване.</w:t>
            </w:r>
          </w:p>
        </w:tc>
      </w:tr>
    </w:tbl>
    <w:p w14:paraId="538EF889" w14:textId="1EC4E6F0" w:rsidR="009D62F6" w:rsidRPr="00852493" w:rsidRDefault="009D62F6" w:rsidP="004332F8">
      <w:pPr>
        <w:spacing w:before="120" w:after="120"/>
        <w:rPr>
          <w:sz w:val="2"/>
          <w:szCs w:val="2"/>
        </w:rPr>
      </w:pPr>
    </w:p>
    <w:p w14:paraId="02DC5883" w14:textId="77777777" w:rsidR="00852493" w:rsidRPr="007B3927" w:rsidRDefault="00852493" w:rsidP="004332F8">
      <w:pPr>
        <w:spacing w:before="120" w:after="120"/>
        <w:sectPr w:rsidR="00852493" w:rsidRPr="007B3927" w:rsidSect="004332F8">
          <w:type w:val="continuous"/>
          <w:pgSz w:w="11906" w:h="16838"/>
          <w:pgMar w:top="1417" w:right="1417" w:bottom="426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6" w:type="dxa"/>
        <w:tblInd w:w="-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602DA4" w:rsidRPr="007B3927" w14:paraId="4DE3315F" w14:textId="77777777" w:rsidTr="00C63F2E">
        <w:trPr>
          <w:cantSplit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27093" w14:textId="605D6D81" w:rsidR="004332F8" w:rsidRPr="004563F6" w:rsidRDefault="002D3CB0" w:rsidP="0092337A">
            <w:pPr>
              <w:pStyle w:val="03"/>
            </w:pPr>
            <w:r w:rsidRPr="004563F6">
              <w:lastRenderedPageBreak/>
              <w:t>*</w:t>
            </w:r>
            <w:r w:rsidR="00B0732D" w:rsidRPr="004563F6">
              <w:t>   </w:t>
            </w:r>
            <w:r w:rsidRPr="004563F6">
              <w:t>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4563F6">
              <w:t>ет и на неговата администрация.</w:t>
            </w:r>
          </w:p>
        </w:tc>
      </w:tr>
      <w:tr w:rsidR="000D667F" w:rsidRPr="007B3927" w14:paraId="6BC679BA" w14:textId="77777777" w:rsidTr="00615988">
        <w:trPr>
          <w:cantSplit/>
        </w:trPr>
        <w:tc>
          <w:tcPr>
            <w:tcW w:w="9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6A7C" w14:textId="60F4DF44" w:rsidR="004332F8" w:rsidRPr="004563F6" w:rsidRDefault="000D667F" w:rsidP="0092337A">
            <w:pPr>
              <w:pStyle w:val="03"/>
            </w:pPr>
            <w:r w:rsidRPr="004563F6">
              <w:t>**</w:t>
            </w:r>
            <w:r w:rsidR="00B0732D" w:rsidRPr="004563F6">
              <w:t>   </w:t>
            </w:r>
            <w:r w:rsidR="002C0D1B" w:rsidRPr="004563F6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4563F6">
              <w:t>.</w:t>
            </w:r>
          </w:p>
        </w:tc>
      </w:tr>
      <w:tr w:rsidR="00602DA4" w:rsidRPr="007B3927" w14:paraId="735F2EAE" w14:textId="77777777" w:rsidTr="00615988">
        <w:trPr>
          <w:cantSplit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B304" w14:textId="77777777" w:rsidR="004332F8" w:rsidRPr="004563F6" w:rsidRDefault="002D3CB0" w:rsidP="0092337A">
            <w:pPr>
              <w:pStyle w:val="03"/>
            </w:pPr>
            <w:r w:rsidRPr="004563F6">
              <w:lastRenderedPageBreak/>
              <w:t>**</w:t>
            </w:r>
            <w:r w:rsidR="000A68D9" w:rsidRPr="004563F6">
              <w:t>*</w:t>
            </w:r>
            <w:r w:rsidR="00B0732D" w:rsidRPr="004563F6">
              <w:t>   </w:t>
            </w:r>
            <w:r w:rsidRPr="004563F6">
              <w:t>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  <w:p w14:paraId="5860A80D" w14:textId="4968DE29" w:rsidR="007F2E32" w:rsidRPr="004563F6" w:rsidRDefault="007F2E32" w:rsidP="0092337A">
            <w:pPr>
              <w:pStyle w:val="03"/>
            </w:pPr>
            <w:r w:rsidRPr="004563F6">
              <w:t>****   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615988">
        <w:trPr>
          <w:cantSplit/>
          <w:trHeight w:val="3053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0C8" w14:textId="167A2C6E" w:rsidR="00BA3467" w:rsidRPr="004563F6" w:rsidRDefault="00BA3467" w:rsidP="004563F6">
            <w:pPr>
              <w:spacing w:before="120" w:after="20"/>
              <w:ind w:right="-646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4563F6">
              <w:rPr>
                <w:rFonts w:eastAsia="Times New Roman"/>
                <w:b/>
                <w:sz w:val="22"/>
                <w:szCs w:val="22"/>
              </w:rPr>
              <w:t xml:space="preserve">ДИРЕКТОР НА ДИРЕКЦИЯ </w:t>
            </w:r>
          </w:p>
          <w:p w14:paraId="45B92D84" w14:textId="77777777" w:rsidR="00BA3467" w:rsidRPr="004563F6" w:rsidRDefault="00BA3467" w:rsidP="004563F6">
            <w:pPr>
              <w:spacing w:before="20" w:after="20"/>
              <w:ind w:right="-646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4563F6">
              <w:rPr>
                <w:rFonts w:eastAsia="Times New Roman"/>
                <w:b/>
                <w:sz w:val="22"/>
                <w:szCs w:val="22"/>
              </w:rPr>
              <w:t>„МОДЕРНИЗАЦИЯ НА АДМИНИСТРАЦИЯТА“ В</w:t>
            </w:r>
          </w:p>
          <w:p w14:paraId="6C13F804" w14:textId="77777777" w:rsidR="00BA3467" w:rsidRPr="004563F6" w:rsidRDefault="00BA3467" w:rsidP="004563F6">
            <w:pPr>
              <w:spacing w:before="20" w:after="20"/>
              <w:ind w:right="-646"/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4563F6">
              <w:rPr>
                <w:rFonts w:eastAsia="Times New Roman"/>
                <w:b/>
                <w:sz w:val="22"/>
                <w:szCs w:val="22"/>
              </w:rPr>
              <w:t>АДМИНИСТРАЦИЯТА НА МИНИСТЕРСКИЯ СЪВЕТ</w:t>
            </w:r>
          </w:p>
          <w:p w14:paraId="15F40762" w14:textId="73A75308" w:rsidR="00BA3467" w:rsidRPr="004563F6" w:rsidRDefault="002F64B0" w:rsidP="004563F6">
            <w:pPr>
              <w:ind w:left="6237"/>
              <w:jc w:val="center"/>
              <w:rPr>
                <w:rFonts w:eastAsia="Times New Roman"/>
                <w:sz w:val="22"/>
                <w:szCs w:val="22"/>
                <w:highlight w:val="white"/>
                <w:lang w:eastAsia="bg-BG"/>
              </w:rPr>
            </w:pPr>
            <w:r>
              <w:rPr>
                <w:rFonts w:eastAsia="Times New Roman"/>
                <w:sz w:val="22"/>
                <w:szCs w:val="22"/>
                <w:highlight w:val="white"/>
                <w:lang w:eastAsia="bg-BG"/>
              </w:rPr>
              <w:pict w14:anchorId="31B25204">
                <v:shape id="_x0000_i1026" type="#_x0000_t75" alt="Microsoft Office Signature Line..." style="width:156.65pt;height:47.25pt">
                  <v:imagedata r:id="rId13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14:paraId="62989756" w14:textId="139C7345" w:rsidR="00B70BF4" w:rsidRPr="004563F6" w:rsidRDefault="007F2E32" w:rsidP="004563F6">
            <w:pPr>
              <w:ind w:left="6237" w:hanging="670"/>
              <w:jc w:val="center"/>
              <w:rPr>
                <w:b/>
                <w:sz w:val="22"/>
                <w:szCs w:val="22"/>
              </w:rPr>
            </w:pPr>
            <w:r w:rsidRPr="004563F6">
              <w:rPr>
                <w:b/>
                <w:sz w:val="22"/>
                <w:szCs w:val="22"/>
              </w:rPr>
              <w:t>ИСКРЕН ИВАНОВ</w:t>
            </w:r>
          </w:p>
        </w:tc>
      </w:tr>
    </w:tbl>
    <w:p w14:paraId="6BCD96D3" w14:textId="29482A1F" w:rsidR="00602DA4" w:rsidRPr="004563F6" w:rsidRDefault="00602DA4" w:rsidP="00852493">
      <w:pPr>
        <w:rPr>
          <w:sz w:val="2"/>
          <w:szCs w:val="2"/>
        </w:rPr>
      </w:pPr>
    </w:p>
    <w:sectPr w:rsidR="00602DA4" w:rsidRPr="004563F6" w:rsidSect="004332F8">
      <w:type w:val="continuous"/>
      <w:pgSz w:w="11906" w:h="16838"/>
      <w:pgMar w:top="1417" w:right="1417" w:bottom="42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A7084" w14:textId="77777777" w:rsidR="006E5121" w:rsidRDefault="006E5121" w:rsidP="00C20834">
      <w:r>
        <w:separator/>
      </w:r>
    </w:p>
    <w:p w14:paraId="4A5B4188" w14:textId="77777777" w:rsidR="006E5121" w:rsidRDefault="006E5121" w:rsidP="00C20834"/>
  </w:endnote>
  <w:endnote w:type="continuationSeparator" w:id="0">
    <w:p w14:paraId="26AFE1FD" w14:textId="77777777" w:rsidR="006E5121" w:rsidRDefault="006E5121" w:rsidP="00C20834">
      <w:r>
        <w:continuationSeparator/>
      </w:r>
    </w:p>
    <w:p w14:paraId="447D7091" w14:textId="77777777" w:rsidR="006E5121" w:rsidRDefault="006E5121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3214F721" w:rsidR="00ED3D62" w:rsidRPr="00CD3A5D" w:rsidRDefault="00CD3A5D" w:rsidP="00CD3A5D">
        <w:pPr>
          <w:tabs>
            <w:tab w:val="right" w:pos="9072"/>
          </w:tabs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735127">
          <w:rPr>
            <w:rFonts w:eastAsia="Times New Roman"/>
            <w:b/>
            <w:bCs/>
            <w:noProof/>
            <w:sz w:val="16"/>
            <w:szCs w:val="16"/>
          </w:rPr>
          <w:t>6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735127">
          <w:rPr>
            <w:rFonts w:eastAsia="Times New Roman"/>
            <w:b/>
            <w:bCs/>
            <w:noProof/>
            <w:sz w:val="16"/>
            <w:szCs w:val="16"/>
          </w:rPr>
          <w:t>6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8C448" w14:textId="77777777" w:rsidR="006E5121" w:rsidRDefault="006E5121" w:rsidP="00C20834">
      <w:r>
        <w:separator/>
      </w:r>
    </w:p>
    <w:p w14:paraId="005EBE26" w14:textId="77777777" w:rsidR="006E5121" w:rsidRDefault="006E5121" w:rsidP="00C20834"/>
  </w:footnote>
  <w:footnote w:type="continuationSeparator" w:id="0">
    <w:p w14:paraId="2B1FB2D0" w14:textId="77777777" w:rsidR="006E5121" w:rsidRDefault="006E5121" w:rsidP="00C20834">
      <w:r>
        <w:continuationSeparator/>
      </w:r>
    </w:p>
    <w:p w14:paraId="7A1BA402" w14:textId="77777777" w:rsidR="006E5121" w:rsidRDefault="006E5121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1314"/>
    <w:multiLevelType w:val="hybridMultilevel"/>
    <w:tmpl w:val="9E3E226A"/>
    <w:lvl w:ilvl="0" w:tplc="8536D47E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" w15:restartNumberingAfterBreak="0">
    <w:nsid w:val="273F438C"/>
    <w:multiLevelType w:val="multilevel"/>
    <w:tmpl w:val="2F6A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6346C"/>
    <w:multiLevelType w:val="hybridMultilevel"/>
    <w:tmpl w:val="A478275E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" w15:restartNumberingAfterBreak="0">
    <w:nsid w:val="3A963D94"/>
    <w:multiLevelType w:val="hybridMultilevel"/>
    <w:tmpl w:val="1F36A858"/>
    <w:lvl w:ilvl="0" w:tplc="0402000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</w:abstractNum>
  <w:abstractNum w:abstractNumId="5" w15:restartNumberingAfterBreak="0">
    <w:nsid w:val="3F211F28"/>
    <w:multiLevelType w:val="hybridMultilevel"/>
    <w:tmpl w:val="FC5AA04A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6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5F1762"/>
    <w:multiLevelType w:val="hybridMultilevel"/>
    <w:tmpl w:val="61CAEE54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24346"/>
    <w:multiLevelType w:val="hybridMultilevel"/>
    <w:tmpl w:val="3F785128"/>
    <w:lvl w:ilvl="0" w:tplc="FFA4CE20">
      <w:start w:val="1"/>
      <w:numFmt w:val="upperRoman"/>
      <w:lvlText w:val="%1."/>
      <w:lvlJc w:val="right"/>
      <w:pPr>
        <w:ind w:left="1459" w:hanging="360"/>
      </w:pPr>
    </w:lvl>
    <w:lvl w:ilvl="1" w:tplc="04020019" w:tentative="1">
      <w:start w:val="1"/>
      <w:numFmt w:val="lowerLetter"/>
      <w:lvlText w:val="%2."/>
      <w:lvlJc w:val="left"/>
      <w:pPr>
        <w:ind w:left="2179" w:hanging="360"/>
      </w:pPr>
    </w:lvl>
    <w:lvl w:ilvl="2" w:tplc="0402001B" w:tentative="1">
      <w:start w:val="1"/>
      <w:numFmt w:val="lowerRoman"/>
      <w:lvlText w:val="%3."/>
      <w:lvlJc w:val="right"/>
      <w:pPr>
        <w:ind w:left="2899" w:hanging="180"/>
      </w:pPr>
    </w:lvl>
    <w:lvl w:ilvl="3" w:tplc="0402000F" w:tentative="1">
      <w:start w:val="1"/>
      <w:numFmt w:val="decimal"/>
      <w:lvlText w:val="%4."/>
      <w:lvlJc w:val="left"/>
      <w:pPr>
        <w:ind w:left="3619" w:hanging="360"/>
      </w:pPr>
    </w:lvl>
    <w:lvl w:ilvl="4" w:tplc="04020019" w:tentative="1">
      <w:start w:val="1"/>
      <w:numFmt w:val="lowerLetter"/>
      <w:lvlText w:val="%5."/>
      <w:lvlJc w:val="left"/>
      <w:pPr>
        <w:ind w:left="4339" w:hanging="360"/>
      </w:pPr>
    </w:lvl>
    <w:lvl w:ilvl="5" w:tplc="0402001B" w:tentative="1">
      <w:start w:val="1"/>
      <w:numFmt w:val="lowerRoman"/>
      <w:lvlText w:val="%6."/>
      <w:lvlJc w:val="right"/>
      <w:pPr>
        <w:ind w:left="5059" w:hanging="180"/>
      </w:pPr>
    </w:lvl>
    <w:lvl w:ilvl="6" w:tplc="0402000F" w:tentative="1">
      <w:start w:val="1"/>
      <w:numFmt w:val="decimal"/>
      <w:lvlText w:val="%7."/>
      <w:lvlJc w:val="left"/>
      <w:pPr>
        <w:ind w:left="5779" w:hanging="360"/>
      </w:pPr>
    </w:lvl>
    <w:lvl w:ilvl="7" w:tplc="04020019" w:tentative="1">
      <w:start w:val="1"/>
      <w:numFmt w:val="lowerLetter"/>
      <w:lvlText w:val="%8."/>
      <w:lvlJc w:val="left"/>
      <w:pPr>
        <w:ind w:left="6499" w:hanging="360"/>
      </w:pPr>
    </w:lvl>
    <w:lvl w:ilvl="8" w:tplc="0402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9" w15:restartNumberingAfterBreak="0">
    <w:nsid w:val="730D7DBC"/>
    <w:multiLevelType w:val="hybridMultilevel"/>
    <w:tmpl w:val="C3ECCE0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91678A"/>
    <w:multiLevelType w:val="hybridMultilevel"/>
    <w:tmpl w:val="B798DF94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5"/>
  </w:num>
  <w:num w:numId="11">
    <w:abstractNumId w:val="9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2DC"/>
    <w:rsid w:val="000014EC"/>
    <w:rsid w:val="00001615"/>
    <w:rsid w:val="00003692"/>
    <w:rsid w:val="00012A0B"/>
    <w:rsid w:val="00020296"/>
    <w:rsid w:val="00021017"/>
    <w:rsid w:val="000257D5"/>
    <w:rsid w:val="00030B02"/>
    <w:rsid w:val="000355CA"/>
    <w:rsid w:val="000405D8"/>
    <w:rsid w:val="0004259E"/>
    <w:rsid w:val="00044A01"/>
    <w:rsid w:val="000478BD"/>
    <w:rsid w:val="00047FB0"/>
    <w:rsid w:val="0005265F"/>
    <w:rsid w:val="00056D49"/>
    <w:rsid w:val="00057C18"/>
    <w:rsid w:val="0006641C"/>
    <w:rsid w:val="0007016F"/>
    <w:rsid w:val="00077667"/>
    <w:rsid w:val="000851AE"/>
    <w:rsid w:val="000873AE"/>
    <w:rsid w:val="0008786A"/>
    <w:rsid w:val="000879ED"/>
    <w:rsid w:val="00087D50"/>
    <w:rsid w:val="000907BA"/>
    <w:rsid w:val="00092193"/>
    <w:rsid w:val="00094215"/>
    <w:rsid w:val="000A0715"/>
    <w:rsid w:val="000A68D9"/>
    <w:rsid w:val="000B1B75"/>
    <w:rsid w:val="000B1C3B"/>
    <w:rsid w:val="000C0A9E"/>
    <w:rsid w:val="000C0E41"/>
    <w:rsid w:val="000D206E"/>
    <w:rsid w:val="000D667F"/>
    <w:rsid w:val="000F04B2"/>
    <w:rsid w:val="000F3496"/>
    <w:rsid w:val="000F65BB"/>
    <w:rsid w:val="00100231"/>
    <w:rsid w:val="001020BF"/>
    <w:rsid w:val="001111D5"/>
    <w:rsid w:val="001120C0"/>
    <w:rsid w:val="0011366C"/>
    <w:rsid w:val="00122B5C"/>
    <w:rsid w:val="00122D45"/>
    <w:rsid w:val="00126555"/>
    <w:rsid w:val="0013155E"/>
    <w:rsid w:val="00133BAE"/>
    <w:rsid w:val="001413BF"/>
    <w:rsid w:val="0014415F"/>
    <w:rsid w:val="00144BE6"/>
    <w:rsid w:val="001479BD"/>
    <w:rsid w:val="00151510"/>
    <w:rsid w:val="00152F23"/>
    <w:rsid w:val="001539CB"/>
    <w:rsid w:val="00164E8F"/>
    <w:rsid w:val="00166824"/>
    <w:rsid w:val="00167E4D"/>
    <w:rsid w:val="00182180"/>
    <w:rsid w:val="00192D9A"/>
    <w:rsid w:val="00193940"/>
    <w:rsid w:val="001A5F4E"/>
    <w:rsid w:val="001B2BD0"/>
    <w:rsid w:val="001B44A5"/>
    <w:rsid w:val="001B50A2"/>
    <w:rsid w:val="001C1321"/>
    <w:rsid w:val="001C7BDE"/>
    <w:rsid w:val="001D5327"/>
    <w:rsid w:val="001D7F92"/>
    <w:rsid w:val="001F0F70"/>
    <w:rsid w:val="001F0FAE"/>
    <w:rsid w:val="001F45EB"/>
    <w:rsid w:val="001F6DD7"/>
    <w:rsid w:val="00204910"/>
    <w:rsid w:val="00204E26"/>
    <w:rsid w:val="00204F7B"/>
    <w:rsid w:val="00205D16"/>
    <w:rsid w:val="002061BC"/>
    <w:rsid w:val="0021106D"/>
    <w:rsid w:val="00213E67"/>
    <w:rsid w:val="00215E0A"/>
    <w:rsid w:val="002211C1"/>
    <w:rsid w:val="002261F7"/>
    <w:rsid w:val="00234F3F"/>
    <w:rsid w:val="00247168"/>
    <w:rsid w:val="0025056F"/>
    <w:rsid w:val="002506F5"/>
    <w:rsid w:val="00262067"/>
    <w:rsid w:val="0026367B"/>
    <w:rsid w:val="00263775"/>
    <w:rsid w:val="00266613"/>
    <w:rsid w:val="00267A5A"/>
    <w:rsid w:val="00270462"/>
    <w:rsid w:val="00271918"/>
    <w:rsid w:val="00271EDD"/>
    <w:rsid w:val="00273D21"/>
    <w:rsid w:val="00274543"/>
    <w:rsid w:val="00277B2B"/>
    <w:rsid w:val="002802AD"/>
    <w:rsid w:val="0028146C"/>
    <w:rsid w:val="00281656"/>
    <w:rsid w:val="002918DD"/>
    <w:rsid w:val="00292933"/>
    <w:rsid w:val="00294469"/>
    <w:rsid w:val="002A2E3A"/>
    <w:rsid w:val="002A5C98"/>
    <w:rsid w:val="002A5E1D"/>
    <w:rsid w:val="002A7C7A"/>
    <w:rsid w:val="002B220F"/>
    <w:rsid w:val="002B3003"/>
    <w:rsid w:val="002B50A6"/>
    <w:rsid w:val="002B5937"/>
    <w:rsid w:val="002B6158"/>
    <w:rsid w:val="002B7600"/>
    <w:rsid w:val="002C0D1B"/>
    <w:rsid w:val="002C3843"/>
    <w:rsid w:val="002C54DA"/>
    <w:rsid w:val="002C599C"/>
    <w:rsid w:val="002C5A97"/>
    <w:rsid w:val="002D2461"/>
    <w:rsid w:val="002D3CB0"/>
    <w:rsid w:val="002D4F4A"/>
    <w:rsid w:val="002E73BD"/>
    <w:rsid w:val="002F64B0"/>
    <w:rsid w:val="003105EA"/>
    <w:rsid w:val="00314B6A"/>
    <w:rsid w:val="00323D41"/>
    <w:rsid w:val="00324D33"/>
    <w:rsid w:val="00324E9F"/>
    <w:rsid w:val="003302A0"/>
    <w:rsid w:val="003306C8"/>
    <w:rsid w:val="00330EFD"/>
    <w:rsid w:val="00333992"/>
    <w:rsid w:val="00335726"/>
    <w:rsid w:val="003442C9"/>
    <w:rsid w:val="0034513B"/>
    <w:rsid w:val="0035061E"/>
    <w:rsid w:val="00350F06"/>
    <w:rsid w:val="00361523"/>
    <w:rsid w:val="0036412B"/>
    <w:rsid w:val="00364B29"/>
    <w:rsid w:val="00373498"/>
    <w:rsid w:val="003766E7"/>
    <w:rsid w:val="00380C9B"/>
    <w:rsid w:val="003839C5"/>
    <w:rsid w:val="00392592"/>
    <w:rsid w:val="00394AA9"/>
    <w:rsid w:val="00396719"/>
    <w:rsid w:val="003A4582"/>
    <w:rsid w:val="003A4985"/>
    <w:rsid w:val="003B5590"/>
    <w:rsid w:val="003C1E9E"/>
    <w:rsid w:val="003C621B"/>
    <w:rsid w:val="003D454B"/>
    <w:rsid w:val="003D78A7"/>
    <w:rsid w:val="003E2B6F"/>
    <w:rsid w:val="003E70D2"/>
    <w:rsid w:val="003F0592"/>
    <w:rsid w:val="003F638D"/>
    <w:rsid w:val="003F6C94"/>
    <w:rsid w:val="0040060D"/>
    <w:rsid w:val="00400C35"/>
    <w:rsid w:val="00403511"/>
    <w:rsid w:val="00403E1D"/>
    <w:rsid w:val="00410F71"/>
    <w:rsid w:val="00421454"/>
    <w:rsid w:val="004250AE"/>
    <w:rsid w:val="00431CC4"/>
    <w:rsid w:val="004332F8"/>
    <w:rsid w:val="004352AE"/>
    <w:rsid w:val="0043548B"/>
    <w:rsid w:val="004439BE"/>
    <w:rsid w:val="00445CE4"/>
    <w:rsid w:val="004563F6"/>
    <w:rsid w:val="004568A7"/>
    <w:rsid w:val="0046157D"/>
    <w:rsid w:val="00465CF9"/>
    <w:rsid w:val="00466FA7"/>
    <w:rsid w:val="0047247D"/>
    <w:rsid w:val="004924AB"/>
    <w:rsid w:val="004B1758"/>
    <w:rsid w:val="004C1253"/>
    <w:rsid w:val="004C6250"/>
    <w:rsid w:val="004C69FF"/>
    <w:rsid w:val="004C6C07"/>
    <w:rsid w:val="004C7E56"/>
    <w:rsid w:val="004D15AB"/>
    <w:rsid w:val="004E2349"/>
    <w:rsid w:val="004E2713"/>
    <w:rsid w:val="004F12EC"/>
    <w:rsid w:val="0050294F"/>
    <w:rsid w:val="0050360A"/>
    <w:rsid w:val="00513A48"/>
    <w:rsid w:val="00521568"/>
    <w:rsid w:val="005304A6"/>
    <w:rsid w:val="00531912"/>
    <w:rsid w:val="005374FD"/>
    <w:rsid w:val="0054028C"/>
    <w:rsid w:val="00541402"/>
    <w:rsid w:val="0055005B"/>
    <w:rsid w:val="00551C3A"/>
    <w:rsid w:val="00560E9D"/>
    <w:rsid w:val="0056231E"/>
    <w:rsid w:val="00562FF2"/>
    <w:rsid w:val="005717CC"/>
    <w:rsid w:val="00571839"/>
    <w:rsid w:val="00581534"/>
    <w:rsid w:val="00581898"/>
    <w:rsid w:val="00581C60"/>
    <w:rsid w:val="00582AB5"/>
    <w:rsid w:val="00592EC5"/>
    <w:rsid w:val="005A1445"/>
    <w:rsid w:val="005A22D0"/>
    <w:rsid w:val="005A3BC0"/>
    <w:rsid w:val="005B11DD"/>
    <w:rsid w:val="005B1243"/>
    <w:rsid w:val="005B4BCB"/>
    <w:rsid w:val="005C0770"/>
    <w:rsid w:val="005C7E7D"/>
    <w:rsid w:val="005D3149"/>
    <w:rsid w:val="005D474C"/>
    <w:rsid w:val="005E1EC5"/>
    <w:rsid w:val="005F13E3"/>
    <w:rsid w:val="005F2242"/>
    <w:rsid w:val="005F5503"/>
    <w:rsid w:val="005F614B"/>
    <w:rsid w:val="005F724F"/>
    <w:rsid w:val="00602D60"/>
    <w:rsid w:val="00602DA4"/>
    <w:rsid w:val="00615988"/>
    <w:rsid w:val="006205AE"/>
    <w:rsid w:val="00627303"/>
    <w:rsid w:val="0063533F"/>
    <w:rsid w:val="00637F0F"/>
    <w:rsid w:val="00653C37"/>
    <w:rsid w:val="006559FC"/>
    <w:rsid w:val="00657679"/>
    <w:rsid w:val="00660D8E"/>
    <w:rsid w:val="00664A4E"/>
    <w:rsid w:val="00671446"/>
    <w:rsid w:val="006717EA"/>
    <w:rsid w:val="006718A8"/>
    <w:rsid w:val="00680D75"/>
    <w:rsid w:val="0069295F"/>
    <w:rsid w:val="00693C7D"/>
    <w:rsid w:val="00695821"/>
    <w:rsid w:val="00696FE1"/>
    <w:rsid w:val="006A18B7"/>
    <w:rsid w:val="006A248F"/>
    <w:rsid w:val="006B1131"/>
    <w:rsid w:val="006B49B5"/>
    <w:rsid w:val="006B5443"/>
    <w:rsid w:val="006B5D0C"/>
    <w:rsid w:val="006B6BAF"/>
    <w:rsid w:val="006C05A6"/>
    <w:rsid w:val="006C1E5E"/>
    <w:rsid w:val="006D4637"/>
    <w:rsid w:val="006D604D"/>
    <w:rsid w:val="006D6BDE"/>
    <w:rsid w:val="006E5121"/>
    <w:rsid w:val="00704506"/>
    <w:rsid w:val="0070623B"/>
    <w:rsid w:val="00707B5A"/>
    <w:rsid w:val="0071466A"/>
    <w:rsid w:val="00720014"/>
    <w:rsid w:val="00726812"/>
    <w:rsid w:val="007326E7"/>
    <w:rsid w:val="00735127"/>
    <w:rsid w:val="007438BC"/>
    <w:rsid w:val="007478F6"/>
    <w:rsid w:val="00756E85"/>
    <w:rsid w:val="00762871"/>
    <w:rsid w:val="00770533"/>
    <w:rsid w:val="0077540B"/>
    <w:rsid w:val="00776502"/>
    <w:rsid w:val="00787834"/>
    <w:rsid w:val="00793836"/>
    <w:rsid w:val="0079486E"/>
    <w:rsid w:val="007B391A"/>
    <w:rsid w:val="007B3927"/>
    <w:rsid w:val="007B4BD2"/>
    <w:rsid w:val="007B61D7"/>
    <w:rsid w:val="007C039F"/>
    <w:rsid w:val="007C0853"/>
    <w:rsid w:val="007C11F6"/>
    <w:rsid w:val="007C1435"/>
    <w:rsid w:val="007C2031"/>
    <w:rsid w:val="007C322C"/>
    <w:rsid w:val="007C448C"/>
    <w:rsid w:val="007C7418"/>
    <w:rsid w:val="007D0247"/>
    <w:rsid w:val="007D5CC8"/>
    <w:rsid w:val="007E1D69"/>
    <w:rsid w:val="007E29E1"/>
    <w:rsid w:val="007E35BA"/>
    <w:rsid w:val="007E5C84"/>
    <w:rsid w:val="007F2E32"/>
    <w:rsid w:val="007F3EA9"/>
    <w:rsid w:val="00807896"/>
    <w:rsid w:val="00811596"/>
    <w:rsid w:val="00816E23"/>
    <w:rsid w:val="00820A9D"/>
    <w:rsid w:val="00823916"/>
    <w:rsid w:val="00826731"/>
    <w:rsid w:val="00830DAC"/>
    <w:rsid w:val="0083361E"/>
    <w:rsid w:val="00834B55"/>
    <w:rsid w:val="00840B3A"/>
    <w:rsid w:val="008428A0"/>
    <w:rsid w:val="00852493"/>
    <w:rsid w:val="00852EF9"/>
    <w:rsid w:val="0085378E"/>
    <w:rsid w:val="00855550"/>
    <w:rsid w:val="008571BE"/>
    <w:rsid w:val="00861841"/>
    <w:rsid w:val="0087124C"/>
    <w:rsid w:val="0088051F"/>
    <w:rsid w:val="00882741"/>
    <w:rsid w:val="008841D5"/>
    <w:rsid w:val="008863CA"/>
    <w:rsid w:val="0089361C"/>
    <w:rsid w:val="00894A5E"/>
    <w:rsid w:val="00896A1E"/>
    <w:rsid w:val="008A54D9"/>
    <w:rsid w:val="008A6084"/>
    <w:rsid w:val="008A707A"/>
    <w:rsid w:val="008B018A"/>
    <w:rsid w:val="008B04F1"/>
    <w:rsid w:val="008C02A3"/>
    <w:rsid w:val="008C60A6"/>
    <w:rsid w:val="008E025F"/>
    <w:rsid w:val="008E6FA2"/>
    <w:rsid w:val="008E76E1"/>
    <w:rsid w:val="008F2C2D"/>
    <w:rsid w:val="008F3DB6"/>
    <w:rsid w:val="008F505D"/>
    <w:rsid w:val="00907A13"/>
    <w:rsid w:val="00911779"/>
    <w:rsid w:val="0091684D"/>
    <w:rsid w:val="00916898"/>
    <w:rsid w:val="0092042D"/>
    <w:rsid w:val="0092337A"/>
    <w:rsid w:val="00925322"/>
    <w:rsid w:val="00932950"/>
    <w:rsid w:val="00940B4E"/>
    <w:rsid w:val="009441A1"/>
    <w:rsid w:val="00952F1F"/>
    <w:rsid w:val="00964C28"/>
    <w:rsid w:val="009704E9"/>
    <w:rsid w:val="00971A88"/>
    <w:rsid w:val="009726A6"/>
    <w:rsid w:val="00973BD9"/>
    <w:rsid w:val="00977C2F"/>
    <w:rsid w:val="009810DF"/>
    <w:rsid w:val="00981824"/>
    <w:rsid w:val="00981CBD"/>
    <w:rsid w:val="00985C4B"/>
    <w:rsid w:val="009B0AD1"/>
    <w:rsid w:val="009C52C0"/>
    <w:rsid w:val="009D62F6"/>
    <w:rsid w:val="009E2316"/>
    <w:rsid w:val="009E28B3"/>
    <w:rsid w:val="009E6840"/>
    <w:rsid w:val="009F0FB8"/>
    <w:rsid w:val="009F5F88"/>
    <w:rsid w:val="00A0662C"/>
    <w:rsid w:val="00A07BE3"/>
    <w:rsid w:val="00A15BEC"/>
    <w:rsid w:val="00A2398C"/>
    <w:rsid w:val="00A32F4C"/>
    <w:rsid w:val="00A33936"/>
    <w:rsid w:val="00A4011C"/>
    <w:rsid w:val="00A410B4"/>
    <w:rsid w:val="00A424FE"/>
    <w:rsid w:val="00A73632"/>
    <w:rsid w:val="00A75F5C"/>
    <w:rsid w:val="00A76AA8"/>
    <w:rsid w:val="00A82BD9"/>
    <w:rsid w:val="00A86130"/>
    <w:rsid w:val="00A86B07"/>
    <w:rsid w:val="00A972FD"/>
    <w:rsid w:val="00AA0476"/>
    <w:rsid w:val="00AA211F"/>
    <w:rsid w:val="00AA3C51"/>
    <w:rsid w:val="00AB5D24"/>
    <w:rsid w:val="00AB5EA8"/>
    <w:rsid w:val="00AB78AB"/>
    <w:rsid w:val="00AC4FA4"/>
    <w:rsid w:val="00AC5008"/>
    <w:rsid w:val="00AC6248"/>
    <w:rsid w:val="00AD340F"/>
    <w:rsid w:val="00AD4774"/>
    <w:rsid w:val="00AE72FE"/>
    <w:rsid w:val="00AF2D1F"/>
    <w:rsid w:val="00AF4FAD"/>
    <w:rsid w:val="00B02272"/>
    <w:rsid w:val="00B026C0"/>
    <w:rsid w:val="00B04F97"/>
    <w:rsid w:val="00B06997"/>
    <w:rsid w:val="00B0732D"/>
    <w:rsid w:val="00B1377E"/>
    <w:rsid w:val="00B13F28"/>
    <w:rsid w:val="00B2193D"/>
    <w:rsid w:val="00B22AAD"/>
    <w:rsid w:val="00B241A0"/>
    <w:rsid w:val="00B2644A"/>
    <w:rsid w:val="00B30018"/>
    <w:rsid w:val="00B34391"/>
    <w:rsid w:val="00B401BA"/>
    <w:rsid w:val="00B5353F"/>
    <w:rsid w:val="00B60D77"/>
    <w:rsid w:val="00B66DB3"/>
    <w:rsid w:val="00B70BF4"/>
    <w:rsid w:val="00B7256C"/>
    <w:rsid w:val="00B73D5D"/>
    <w:rsid w:val="00B80FFC"/>
    <w:rsid w:val="00B925F8"/>
    <w:rsid w:val="00B953FF"/>
    <w:rsid w:val="00BA11AB"/>
    <w:rsid w:val="00BA1FC3"/>
    <w:rsid w:val="00BA3467"/>
    <w:rsid w:val="00BA5207"/>
    <w:rsid w:val="00BA6FB2"/>
    <w:rsid w:val="00BA75F2"/>
    <w:rsid w:val="00BB2188"/>
    <w:rsid w:val="00BC09FE"/>
    <w:rsid w:val="00BC7450"/>
    <w:rsid w:val="00BD3124"/>
    <w:rsid w:val="00BD3359"/>
    <w:rsid w:val="00BD6D12"/>
    <w:rsid w:val="00BD7A64"/>
    <w:rsid w:val="00BE0061"/>
    <w:rsid w:val="00BF71D5"/>
    <w:rsid w:val="00C008E9"/>
    <w:rsid w:val="00C01E97"/>
    <w:rsid w:val="00C04C60"/>
    <w:rsid w:val="00C109ED"/>
    <w:rsid w:val="00C13B9E"/>
    <w:rsid w:val="00C14B2B"/>
    <w:rsid w:val="00C15239"/>
    <w:rsid w:val="00C20834"/>
    <w:rsid w:val="00C21704"/>
    <w:rsid w:val="00C23336"/>
    <w:rsid w:val="00C23D44"/>
    <w:rsid w:val="00C2439E"/>
    <w:rsid w:val="00C2787F"/>
    <w:rsid w:val="00C27D89"/>
    <w:rsid w:val="00C307F0"/>
    <w:rsid w:val="00C30952"/>
    <w:rsid w:val="00C3368A"/>
    <w:rsid w:val="00C37346"/>
    <w:rsid w:val="00C405F9"/>
    <w:rsid w:val="00C4215E"/>
    <w:rsid w:val="00C45E18"/>
    <w:rsid w:val="00C462DB"/>
    <w:rsid w:val="00C50797"/>
    <w:rsid w:val="00C52DF4"/>
    <w:rsid w:val="00C56E4D"/>
    <w:rsid w:val="00C63F2E"/>
    <w:rsid w:val="00C6619B"/>
    <w:rsid w:val="00C70D2A"/>
    <w:rsid w:val="00C71C35"/>
    <w:rsid w:val="00C8486B"/>
    <w:rsid w:val="00C8513A"/>
    <w:rsid w:val="00C85426"/>
    <w:rsid w:val="00C85C2F"/>
    <w:rsid w:val="00C92124"/>
    <w:rsid w:val="00C93AA3"/>
    <w:rsid w:val="00C94271"/>
    <w:rsid w:val="00CA1C14"/>
    <w:rsid w:val="00CA3B28"/>
    <w:rsid w:val="00CA3FF4"/>
    <w:rsid w:val="00CA5AB7"/>
    <w:rsid w:val="00CA5C7F"/>
    <w:rsid w:val="00CA5EB8"/>
    <w:rsid w:val="00CB1205"/>
    <w:rsid w:val="00CB130C"/>
    <w:rsid w:val="00CB4EB5"/>
    <w:rsid w:val="00CB7514"/>
    <w:rsid w:val="00CC0870"/>
    <w:rsid w:val="00CC3112"/>
    <w:rsid w:val="00CC6EFA"/>
    <w:rsid w:val="00CC7CAA"/>
    <w:rsid w:val="00CD3193"/>
    <w:rsid w:val="00CD332B"/>
    <w:rsid w:val="00CD3A5D"/>
    <w:rsid w:val="00CD4EAA"/>
    <w:rsid w:val="00CE1738"/>
    <w:rsid w:val="00CE2DC3"/>
    <w:rsid w:val="00CF3F62"/>
    <w:rsid w:val="00CF635B"/>
    <w:rsid w:val="00CF70F0"/>
    <w:rsid w:val="00CF7DF7"/>
    <w:rsid w:val="00D04285"/>
    <w:rsid w:val="00D051BE"/>
    <w:rsid w:val="00D05CDC"/>
    <w:rsid w:val="00D104D1"/>
    <w:rsid w:val="00D14056"/>
    <w:rsid w:val="00D201CC"/>
    <w:rsid w:val="00D229F9"/>
    <w:rsid w:val="00D320EF"/>
    <w:rsid w:val="00D356EB"/>
    <w:rsid w:val="00D35E78"/>
    <w:rsid w:val="00D36F48"/>
    <w:rsid w:val="00D4057C"/>
    <w:rsid w:val="00D43F35"/>
    <w:rsid w:val="00D43F47"/>
    <w:rsid w:val="00D4506B"/>
    <w:rsid w:val="00D50DE1"/>
    <w:rsid w:val="00D71609"/>
    <w:rsid w:val="00D72DE3"/>
    <w:rsid w:val="00D751D6"/>
    <w:rsid w:val="00D82CBF"/>
    <w:rsid w:val="00D91E34"/>
    <w:rsid w:val="00D930EA"/>
    <w:rsid w:val="00DA0142"/>
    <w:rsid w:val="00DA5071"/>
    <w:rsid w:val="00DB4204"/>
    <w:rsid w:val="00DB5262"/>
    <w:rsid w:val="00DC47E2"/>
    <w:rsid w:val="00DC7865"/>
    <w:rsid w:val="00DE00B0"/>
    <w:rsid w:val="00DE1358"/>
    <w:rsid w:val="00DE2694"/>
    <w:rsid w:val="00DE33AD"/>
    <w:rsid w:val="00DE7A3D"/>
    <w:rsid w:val="00DF2E79"/>
    <w:rsid w:val="00E01303"/>
    <w:rsid w:val="00E03163"/>
    <w:rsid w:val="00E04136"/>
    <w:rsid w:val="00E12073"/>
    <w:rsid w:val="00E1478D"/>
    <w:rsid w:val="00E14879"/>
    <w:rsid w:val="00E162AB"/>
    <w:rsid w:val="00E3229E"/>
    <w:rsid w:val="00E374A5"/>
    <w:rsid w:val="00E436A0"/>
    <w:rsid w:val="00E50E7E"/>
    <w:rsid w:val="00E5597C"/>
    <w:rsid w:val="00E5663E"/>
    <w:rsid w:val="00E57CBF"/>
    <w:rsid w:val="00E60D38"/>
    <w:rsid w:val="00E63448"/>
    <w:rsid w:val="00E77171"/>
    <w:rsid w:val="00E80FDC"/>
    <w:rsid w:val="00E84E2C"/>
    <w:rsid w:val="00E86AAE"/>
    <w:rsid w:val="00E93E49"/>
    <w:rsid w:val="00EA0D17"/>
    <w:rsid w:val="00EA6D4B"/>
    <w:rsid w:val="00EB2A2F"/>
    <w:rsid w:val="00EB342F"/>
    <w:rsid w:val="00EB4ABE"/>
    <w:rsid w:val="00EB7D4C"/>
    <w:rsid w:val="00ED3D62"/>
    <w:rsid w:val="00EE2F6D"/>
    <w:rsid w:val="00F02D89"/>
    <w:rsid w:val="00F103EF"/>
    <w:rsid w:val="00F11186"/>
    <w:rsid w:val="00F13C19"/>
    <w:rsid w:val="00F14473"/>
    <w:rsid w:val="00F14937"/>
    <w:rsid w:val="00F15F83"/>
    <w:rsid w:val="00F213FE"/>
    <w:rsid w:val="00F22220"/>
    <w:rsid w:val="00F24C50"/>
    <w:rsid w:val="00F26486"/>
    <w:rsid w:val="00F3067F"/>
    <w:rsid w:val="00F325D7"/>
    <w:rsid w:val="00F4388F"/>
    <w:rsid w:val="00F441E8"/>
    <w:rsid w:val="00F44709"/>
    <w:rsid w:val="00F44AAC"/>
    <w:rsid w:val="00F50649"/>
    <w:rsid w:val="00F56413"/>
    <w:rsid w:val="00F568FC"/>
    <w:rsid w:val="00F56ED2"/>
    <w:rsid w:val="00F572BA"/>
    <w:rsid w:val="00F60389"/>
    <w:rsid w:val="00F61061"/>
    <w:rsid w:val="00F653B2"/>
    <w:rsid w:val="00F65ACC"/>
    <w:rsid w:val="00F721B0"/>
    <w:rsid w:val="00F75B2A"/>
    <w:rsid w:val="00F8701F"/>
    <w:rsid w:val="00F91E35"/>
    <w:rsid w:val="00FA3E67"/>
    <w:rsid w:val="00FA7496"/>
    <w:rsid w:val="00FB1F1C"/>
    <w:rsid w:val="00FB30B2"/>
    <w:rsid w:val="00FB497F"/>
    <w:rsid w:val="00FD5B68"/>
    <w:rsid w:val="00FD6550"/>
    <w:rsid w:val="00FD738E"/>
    <w:rsid w:val="00FE2043"/>
    <w:rsid w:val="00FE669E"/>
    <w:rsid w:val="00FF2F81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93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46157D"/>
    <w:pPr>
      <w:numPr>
        <w:numId w:val="2"/>
      </w:numPr>
      <w:spacing w:before="120" w:after="120"/>
      <w:ind w:left="851" w:hanging="851"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5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aliases w:val="List Paragraph1,List1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aliases w:val="List Paragraph1 Char,List1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46157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50360A"/>
    <w:pPr>
      <w:spacing w:after="120"/>
      <w:ind w:firstLine="879"/>
    </w:pPr>
  </w:style>
  <w:style w:type="paragraph" w:customStyle="1" w:styleId="03">
    <w:name w:val="03. Дисклеймър"/>
    <w:basedOn w:val="Normal"/>
    <w:link w:val="03Char"/>
    <w:qFormat/>
    <w:rsid w:val="000355CA"/>
    <w:pPr>
      <w:spacing w:after="120"/>
    </w:pPr>
  </w:style>
  <w:style w:type="character" w:customStyle="1" w:styleId="02Char">
    <w:name w:val="02. Текст Char"/>
    <w:basedOn w:val="DefaultParagraphFont"/>
    <w:link w:val="02"/>
    <w:rsid w:val="0050360A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0355CA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36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734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A3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name w:val="Текст"/>
    <w:basedOn w:val="Normal"/>
    <w:link w:val="Char1"/>
    <w:qFormat/>
    <w:rsid w:val="00324D33"/>
    <w:pPr>
      <w:spacing w:after="120"/>
      <w:ind w:firstLine="595"/>
    </w:pPr>
  </w:style>
  <w:style w:type="character" w:customStyle="1" w:styleId="Char1">
    <w:name w:val="Текст Char"/>
    <w:basedOn w:val="DefaultParagraphFont"/>
    <w:link w:val="a1"/>
    <w:rsid w:val="00324D3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540B"/>
    <w:pPr>
      <w:spacing w:line="240" w:lineRule="auto"/>
      <w:ind w:firstLine="397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4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40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C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115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3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rategy.bg/Calculator/Calculator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y.bg/Publications/View.aspx?lang=bg-BG&amp;categoryId=&amp;Id=297&amp;y=&amp;m=&amp;d=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02ABFEC9B443F8BA16A302C9B1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939F-96F7-44B0-A822-BEE198BA75E5}"/>
      </w:docPartPr>
      <w:docPartBody>
        <w:p w:rsidR="00C34C98" w:rsidRDefault="0022129E" w:rsidP="0022129E">
          <w:pPr>
            <w:pStyle w:val="A802ABFEC9B443F8BA16A302C9B1E2A3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D9E0FC634B9645048294735CE007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ADBD-9B39-471E-9EA7-00D21D647CD6}"/>
      </w:docPartPr>
      <w:docPartBody>
        <w:p w:rsidR="00C34C98" w:rsidRDefault="0022129E" w:rsidP="0022129E">
          <w:pPr>
            <w:pStyle w:val="D9E0FC634B9645048294735CE00713A4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74A89"/>
    <w:rsid w:val="000A29FA"/>
    <w:rsid w:val="000D51D1"/>
    <w:rsid w:val="000E292A"/>
    <w:rsid w:val="000F5770"/>
    <w:rsid w:val="00121C36"/>
    <w:rsid w:val="00166278"/>
    <w:rsid w:val="001C128A"/>
    <w:rsid w:val="0022129E"/>
    <w:rsid w:val="002342C2"/>
    <w:rsid w:val="002B6C5A"/>
    <w:rsid w:val="002C47C6"/>
    <w:rsid w:val="00315C0A"/>
    <w:rsid w:val="003178A8"/>
    <w:rsid w:val="00335A40"/>
    <w:rsid w:val="0035473A"/>
    <w:rsid w:val="003701A8"/>
    <w:rsid w:val="003955CB"/>
    <w:rsid w:val="003D1862"/>
    <w:rsid w:val="003F4474"/>
    <w:rsid w:val="00414F91"/>
    <w:rsid w:val="00457552"/>
    <w:rsid w:val="00476E9F"/>
    <w:rsid w:val="00493010"/>
    <w:rsid w:val="004A5DBA"/>
    <w:rsid w:val="00530842"/>
    <w:rsid w:val="00540A34"/>
    <w:rsid w:val="0054676C"/>
    <w:rsid w:val="00596EEF"/>
    <w:rsid w:val="00597C2F"/>
    <w:rsid w:val="00627929"/>
    <w:rsid w:val="006475E7"/>
    <w:rsid w:val="00672054"/>
    <w:rsid w:val="00677F50"/>
    <w:rsid w:val="006F330C"/>
    <w:rsid w:val="00725B05"/>
    <w:rsid w:val="00792215"/>
    <w:rsid w:val="007D644C"/>
    <w:rsid w:val="008D68C4"/>
    <w:rsid w:val="00935050"/>
    <w:rsid w:val="0094156A"/>
    <w:rsid w:val="009573A6"/>
    <w:rsid w:val="00963026"/>
    <w:rsid w:val="009C34EF"/>
    <w:rsid w:val="00A55B95"/>
    <w:rsid w:val="00A82409"/>
    <w:rsid w:val="00A8463E"/>
    <w:rsid w:val="00B30464"/>
    <w:rsid w:val="00B44BA6"/>
    <w:rsid w:val="00BA708C"/>
    <w:rsid w:val="00BC39F1"/>
    <w:rsid w:val="00C34C98"/>
    <w:rsid w:val="00C7487D"/>
    <w:rsid w:val="00C769A9"/>
    <w:rsid w:val="00C81AF7"/>
    <w:rsid w:val="00CD5C9A"/>
    <w:rsid w:val="00CF214E"/>
    <w:rsid w:val="00D46168"/>
    <w:rsid w:val="00D75702"/>
    <w:rsid w:val="00DC196C"/>
    <w:rsid w:val="00DF6F0D"/>
    <w:rsid w:val="00E84714"/>
    <w:rsid w:val="00EA7CC0"/>
    <w:rsid w:val="00EB3993"/>
    <w:rsid w:val="00ED5AEF"/>
    <w:rsid w:val="00EE4BFD"/>
    <w:rsid w:val="00F0172C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29E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7B10272A17C74E278E7722C0EE7D4787">
    <w:name w:val="7B10272A17C74E278E7722C0EE7D4787"/>
    <w:rsid w:val="00476E9F"/>
  </w:style>
  <w:style w:type="paragraph" w:customStyle="1" w:styleId="A802ABFEC9B443F8BA16A302C9B1E2A3">
    <w:name w:val="A802ABFEC9B443F8BA16A302C9B1E2A3"/>
    <w:rsid w:val="0022129E"/>
  </w:style>
  <w:style w:type="paragraph" w:customStyle="1" w:styleId="D9E0FC634B9645048294735CE00713A4">
    <w:name w:val="D9E0FC634B9645048294735CE00713A4"/>
    <w:rsid w:val="00221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8D166-E417-48AF-9D30-23BDCDB5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Windows User</cp:lastModifiedBy>
  <cp:revision>2</cp:revision>
  <cp:lastPrinted>2019-05-16T09:20:00Z</cp:lastPrinted>
  <dcterms:created xsi:type="dcterms:W3CDTF">2024-07-18T14:13:00Z</dcterms:created>
  <dcterms:modified xsi:type="dcterms:W3CDTF">2024-07-18T14:13:00Z</dcterms:modified>
</cp:coreProperties>
</file>